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6A69" w14:textId="4E95EF77" w:rsidR="00D63A7A" w:rsidRPr="005D5FC0" w:rsidRDefault="004E6C83" w:rsidP="00D63A7A">
      <w:pPr>
        <w:pStyle w:val="Header1-underline"/>
      </w:pPr>
      <w:bookmarkStart w:id="0" w:name="TitleOfCommittee"/>
      <w:r>
        <w:t>Entry Customer Forum</w:t>
      </w:r>
    </w:p>
    <w:bookmarkEnd w:id="0"/>
    <w:p w14:paraId="3934E9E2" w14:textId="6DEAFB6F" w:rsidR="002034B7" w:rsidRPr="002034B7" w:rsidRDefault="002034B7" w:rsidP="002034B7">
      <w:pPr>
        <w:pStyle w:val="SUBHEADING"/>
      </w:pPr>
      <w:r w:rsidRPr="002034B7">
        <w:t>MINUTES</w:t>
      </w:r>
    </w:p>
    <w:p w14:paraId="329F4CC4" w14:textId="49F04D11" w:rsidR="0050338D" w:rsidRDefault="002856F9" w:rsidP="003D171C">
      <w:pPr>
        <w:pStyle w:val="Subheader2"/>
      </w:pPr>
      <w:bookmarkStart w:id="1" w:name="DateTime"/>
      <w:r w:rsidRPr="002856F9">
        <w:t>Tuesday 25 July 2023</w:t>
      </w:r>
      <w:r>
        <w:t xml:space="preserve"> </w:t>
      </w:r>
      <w:r w:rsidR="00366250" w:rsidRPr="003C060A">
        <w:t>at 1</w:t>
      </w:r>
      <w:r w:rsidR="008A236F">
        <w:t>2</w:t>
      </w:r>
      <w:r w:rsidR="00366250" w:rsidRPr="003C060A">
        <w:t>.</w:t>
      </w:r>
      <w:r w:rsidR="008A236F">
        <w:t>3</w:t>
      </w:r>
      <w:r w:rsidR="00366250" w:rsidRPr="003C060A">
        <w:t>0</w:t>
      </w:r>
      <w:r w:rsidR="008A236F">
        <w:t>P</w:t>
      </w:r>
      <w:r w:rsidR="00FA657E">
        <w:t>M</w:t>
      </w:r>
      <w:r w:rsidR="00366250" w:rsidRPr="003C060A">
        <w:t xml:space="preserve"> – </w:t>
      </w:r>
      <w:r w:rsidR="008A236F">
        <w:t>2</w:t>
      </w:r>
      <w:r w:rsidR="00366250" w:rsidRPr="003C060A">
        <w:t>.</w:t>
      </w:r>
      <w:r w:rsidR="008A236F">
        <w:t>0</w:t>
      </w:r>
      <w:r w:rsidR="00366250" w:rsidRPr="003C060A">
        <w:t>0</w:t>
      </w:r>
      <w:r w:rsidR="008A236F">
        <w:t>P</w:t>
      </w:r>
      <w:r w:rsidR="00FA657E">
        <w:t>M</w:t>
      </w:r>
    </w:p>
    <w:bookmarkEnd w:id="1"/>
    <w:p w14:paraId="70236599" w14:textId="5A11D32E" w:rsidR="00400C41" w:rsidRPr="003C060A" w:rsidRDefault="008A236F" w:rsidP="003D171C">
      <w:pPr>
        <w:pStyle w:val="Subheader2"/>
      </w:pPr>
      <w:r>
        <w:t>MS Teams</w:t>
      </w:r>
    </w:p>
    <w:p w14:paraId="18774A3A" w14:textId="405DCE06" w:rsidR="003D171C" w:rsidRPr="003D171C" w:rsidRDefault="002034B7" w:rsidP="00F4406B">
      <w:pPr>
        <w:pStyle w:val="SUBHEADING"/>
      </w:pPr>
      <w:r>
        <w:t>ATTENDEES</w:t>
      </w:r>
    </w:p>
    <w:tbl>
      <w:tblPr>
        <w:tblW w:w="8647" w:type="dxa"/>
        <w:tblBorders>
          <w:top w:val="single" w:sz="2" w:space="0" w:color="A6ACA9" w:themeColor="background2"/>
          <w:left w:val="single" w:sz="2" w:space="0" w:color="A6ACA9" w:themeColor="background2"/>
          <w:bottom w:val="single" w:sz="2" w:space="0" w:color="A6ACA9" w:themeColor="background2"/>
          <w:right w:val="single" w:sz="2" w:space="0" w:color="A6ACA9" w:themeColor="background2"/>
          <w:insideH w:val="single" w:sz="2" w:space="0" w:color="A6ACA9" w:themeColor="background2"/>
          <w:insideV w:val="single" w:sz="2" w:space="0" w:color="A6ACA9" w:themeColor="background2"/>
        </w:tblBorders>
        <w:tblLook w:val="0420" w:firstRow="1" w:lastRow="0" w:firstColumn="0" w:lastColumn="0" w:noHBand="0" w:noVBand="1"/>
      </w:tblPr>
      <w:tblGrid>
        <w:gridCol w:w="3534"/>
        <w:gridCol w:w="1516"/>
        <w:gridCol w:w="3597"/>
      </w:tblGrid>
      <w:tr w:rsidR="0069355A" w:rsidRPr="00232395" w14:paraId="24936A9A" w14:textId="77777777" w:rsidTr="00AF777A">
        <w:trPr>
          <w:trHeight w:val="482"/>
        </w:trPr>
        <w:tc>
          <w:tcPr>
            <w:tcW w:w="3534" w:type="dxa"/>
            <w:shd w:val="clear" w:color="auto" w:fill="009FE3" w:themeFill="accent4"/>
            <w:vAlign w:val="center"/>
          </w:tcPr>
          <w:p w14:paraId="33F5C317" w14:textId="77777777" w:rsidR="0069355A" w:rsidRPr="00232395" w:rsidRDefault="0069355A" w:rsidP="0035282C">
            <w:pPr>
              <w:rPr>
                <w:rFonts w:cs="Tahoma"/>
                <w:b/>
                <w:bCs/>
                <w:color w:val="FFFFFF" w:themeColor="background1"/>
                <w:szCs w:val="20"/>
                <w:lang w:eastAsia="en-US"/>
              </w:rPr>
            </w:pPr>
            <w:r>
              <w:rPr>
                <w:rFonts w:cs="Tahoma"/>
                <w:b/>
                <w:bCs/>
                <w:color w:val="FFFFFF" w:themeColor="background1"/>
                <w:szCs w:val="20"/>
                <w:lang w:eastAsia="en-US"/>
              </w:rPr>
              <w:t>Name</w:t>
            </w:r>
          </w:p>
        </w:tc>
        <w:tc>
          <w:tcPr>
            <w:tcW w:w="1516" w:type="dxa"/>
            <w:shd w:val="clear" w:color="auto" w:fill="009FE3" w:themeFill="accent4"/>
            <w:vAlign w:val="center"/>
          </w:tcPr>
          <w:p w14:paraId="764A1F72" w14:textId="77777777" w:rsidR="0069355A" w:rsidRPr="00232395" w:rsidRDefault="0069355A" w:rsidP="0035282C">
            <w:pPr>
              <w:rPr>
                <w:rFonts w:cs="Tahoma"/>
                <w:b/>
                <w:bCs/>
                <w:color w:val="FFFFFF" w:themeColor="background1"/>
                <w:szCs w:val="20"/>
                <w:lang w:eastAsia="en-US"/>
              </w:rPr>
            </w:pPr>
            <w:r>
              <w:rPr>
                <w:rFonts w:cs="Tahoma"/>
                <w:b/>
                <w:bCs/>
                <w:color w:val="FFFFFF" w:themeColor="background1"/>
                <w:szCs w:val="20"/>
                <w:lang w:eastAsia="en-US"/>
              </w:rPr>
              <w:t>Initials</w:t>
            </w:r>
          </w:p>
        </w:tc>
        <w:tc>
          <w:tcPr>
            <w:tcW w:w="3597" w:type="dxa"/>
            <w:shd w:val="clear" w:color="auto" w:fill="009FE3" w:themeFill="accent4"/>
            <w:vAlign w:val="center"/>
          </w:tcPr>
          <w:p w14:paraId="14A54D4E" w14:textId="77777777" w:rsidR="0069355A" w:rsidRPr="00232395" w:rsidRDefault="0069355A" w:rsidP="0035282C">
            <w:pPr>
              <w:rPr>
                <w:rFonts w:cs="Tahoma"/>
                <w:b/>
                <w:bCs/>
                <w:color w:val="FFFFFF" w:themeColor="background1"/>
                <w:szCs w:val="20"/>
                <w:lang w:eastAsia="en-US"/>
              </w:rPr>
            </w:pPr>
            <w:r w:rsidRPr="00232395">
              <w:rPr>
                <w:rFonts w:cs="Tahoma"/>
                <w:b/>
                <w:bCs/>
                <w:color w:val="FFFFFF" w:themeColor="background1"/>
                <w:szCs w:val="20"/>
                <w:lang w:eastAsia="en-US"/>
              </w:rPr>
              <w:t>Com</w:t>
            </w:r>
            <w:r>
              <w:rPr>
                <w:rFonts w:cs="Tahoma"/>
                <w:b/>
                <w:bCs/>
                <w:color w:val="FFFFFF" w:themeColor="background1"/>
                <w:szCs w:val="20"/>
                <w:lang w:eastAsia="en-US"/>
              </w:rPr>
              <w:t>pany</w:t>
            </w:r>
          </w:p>
        </w:tc>
      </w:tr>
      <w:tr w:rsidR="0069355A" w:rsidRPr="00232395" w14:paraId="0C959069" w14:textId="77777777" w:rsidTr="00E61EAA">
        <w:trPr>
          <w:trHeight w:val="482"/>
        </w:trPr>
        <w:tc>
          <w:tcPr>
            <w:tcW w:w="3534" w:type="dxa"/>
            <w:shd w:val="clear" w:color="auto" w:fill="E1F6FF"/>
            <w:vAlign w:val="center"/>
          </w:tcPr>
          <w:p w14:paraId="466D5170" w14:textId="77777777" w:rsidR="0069355A" w:rsidRDefault="0069355A" w:rsidP="002034B7">
            <w:r>
              <w:t>Lee Firth</w:t>
            </w:r>
          </w:p>
        </w:tc>
        <w:tc>
          <w:tcPr>
            <w:tcW w:w="1516" w:type="dxa"/>
            <w:shd w:val="clear" w:color="auto" w:fill="E1F6FF"/>
            <w:vAlign w:val="center"/>
          </w:tcPr>
          <w:p w14:paraId="6ADA1811" w14:textId="77777777" w:rsidR="0069355A" w:rsidRDefault="0069355A" w:rsidP="002034B7">
            <w:pPr>
              <w:rPr>
                <w:rFonts w:cs="Tahoma"/>
                <w:bCs/>
                <w:szCs w:val="20"/>
                <w:lang w:eastAsia="en-US"/>
              </w:rPr>
            </w:pPr>
            <w:r>
              <w:rPr>
                <w:rFonts w:cs="Tahoma"/>
                <w:bCs/>
                <w:szCs w:val="20"/>
                <w:lang w:eastAsia="en-US"/>
              </w:rPr>
              <w:t>LF</w:t>
            </w:r>
          </w:p>
        </w:tc>
        <w:tc>
          <w:tcPr>
            <w:tcW w:w="3597" w:type="dxa"/>
            <w:shd w:val="clear" w:color="auto" w:fill="E1F6FF"/>
            <w:vAlign w:val="center"/>
          </w:tcPr>
          <w:p w14:paraId="4BDA30F9" w14:textId="77777777" w:rsidR="0069355A" w:rsidRDefault="0069355A" w:rsidP="002034B7">
            <w:pPr>
              <w:rPr>
                <w:rFonts w:cs="Tahoma"/>
                <w:bCs/>
                <w:szCs w:val="20"/>
                <w:lang w:eastAsia="en-US"/>
              </w:rPr>
            </w:pPr>
            <w:r>
              <w:rPr>
                <w:rFonts w:cs="Tahoma"/>
                <w:bCs/>
                <w:szCs w:val="20"/>
                <w:lang w:eastAsia="en-US"/>
              </w:rPr>
              <w:t>Biomethane Assist</w:t>
            </w:r>
          </w:p>
        </w:tc>
      </w:tr>
      <w:tr w:rsidR="0069355A" w:rsidRPr="00232395" w14:paraId="3C1CCE0A" w14:textId="77777777" w:rsidTr="003D171C">
        <w:trPr>
          <w:trHeight w:val="482"/>
        </w:trPr>
        <w:tc>
          <w:tcPr>
            <w:tcW w:w="3534" w:type="dxa"/>
            <w:shd w:val="clear" w:color="auto" w:fill="auto"/>
            <w:vAlign w:val="center"/>
          </w:tcPr>
          <w:p w14:paraId="60D1B85A" w14:textId="77777777" w:rsidR="0069355A" w:rsidRDefault="0069355A" w:rsidP="002034B7">
            <w:r>
              <w:t>Tom Knight</w:t>
            </w:r>
          </w:p>
        </w:tc>
        <w:tc>
          <w:tcPr>
            <w:tcW w:w="1516" w:type="dxa"/>
            <w:shd w:val="clear" w:color="auto" w:fill="auto"/>
            <w:vAlign w:val="center"/>
          </w:tcPr>
          <w:p w14:paraId="689A34FA" w14:textId="77777777" w:rsidR="0069355A" w:rsidRDefault="0069355A" w:rsidP="002034B7">
            <w:pPr>
              <w:rPr>
                <w:rFonts w:cs="Tahoma"/>
                <w:bCs/>
                <w:szCs w:val="20"/>
                <w:lang w:eastAsia="en-US"/>
              </w:rPr>
            </w:pPr>
            <w:r>
              <w:rPr>
                <w:rFonts w:cs="Tahoma"/>
                <w:bCs/>
                <w:szCs w:val="20"/>
                <w:lang w:eastAsia="en-US"/>
              </w:rPr>
              <w:t>TK</w:t>
            </w:r>
          </w:p>
        </w:tc>
        <w:tc>
          <w:tcPr>
            <w:tcW w:w="3597" w:type="dxa"/>
            <w:shd w:val="clear" w:color="auto" w:fill="auto"/>
            <w:vAlign w:val="center"/>
          </w:tcPr>
          <w:p w14:paraId="7EEF4451" w14:textId="77777777" w:rsidR="0069355A" w:rsidRDefault="0069355A" w:rsidP="002034B7">
            <w:pPr>
              <w:rPr>
                <w:rFonts w:cs="Tahoma"/>
                <w:bCs/>
                <w:szCs w:val="20"/>
                <w:lang w:eastAsia="en-US"/>
              </w:rPr>
            </w:pPr>
            <w:r>
              <w:rPr>
                <w:rFonts w:cs="Tahoma"/>
                <w:bCs/>
                <w:szCs w:val="20"/>
                <w:lang w:eastAsia="en-US"/>
              </w:rPr>
              <w:t>Bohr Energy</w:t>
            </w:r>
          </w:p>
        </w:tc>
      </w:tr>
      <w:tr w:rsidR="0069355A" w:rsidRPr="00232395" w14:paraId="5E22C11C" w14:textId="77777777" w:rsidTr="003D171C">
        <w:trPr>
          <w:trHeight w:val="482"/>
        </w:trPr>
        <w:tc>
          <w:tcPr>
            <w:tcW w:w="3534" w:type="dxa"/>
            <w:shd w:val="clear" w:color="auto" w:fill="E1F6FF"/>
            <w:vAlign w:val="center"/>
          </w:tcPr>
          <w:p w14:paraId="38191DCA" w14:textId="77777777" w:rsidR="0069355A" w:rsidRDefault="0069355A" w:rsidP="002034B7">
            <w:r>
              <w:t>Jadie Lawley</w:t>
            </w:r>
          </w:p>
        </w:tc>
        <w:tc>
          <w:tcPr>
            <w:tcW w:w="1516" w:type="dxa"/>
            <w:shd w:val="clear" w:color="auto" w:fill="E1F6FF"/>
            <w:vAlign w:val="center"/>
          </w:tcPr>
          <w:p w14:paraId="3698A527" w14:textId="77777777" w:rsidR="0069355A" w:rsidRDefault="0069355A" w:rsidP="002034B7">
            <w:pPr>
              <w:rPr>
                <w:rFonts w:cs="Tahoma"/>
                <w:bCs/>
                <w:szCs w:val="20"/>
                <w:lang w:eastAsia="en-US"/>
              </w:rPr>
            </w:pPr>
            <w:r>
              <w:rPr>
                <w:rFonts w:cs="Tahoma"/>
                <w:bCs/>
                <w:szCs w:val="20"/>
                <w:lang w:eastAsia="en-US"/>
              </w:rPr>
              <w:t>JL</w:t>
            </w:r>
          </w:p>
        </w:tc>
        <w:tc>
          <w:tcPr>
            <w:tcW w:w="3597" w:type="dxa"/>
            <w:shd w:val="clear" w:color="auto" w:fill="E1F6FF"/>
            <w:vAlign w:val="center"/>
          </w:tcPr>
          <w:p w14:paraId="190489AF" w14:textId="77777777" w:rsidR="0069355A" w:rsidRDefault="0069355A" w:rsidP="002034B7">
            <w:pPr>
              <w:rPr>
                <w:rFonts w:cs="Tahoma"/>
                <w:bCs/>
                <w:szCs w:val="20"/>
                <w:lang w:eastAsia="en-US"/>
              </w:rPr>
            </w:pPr>
            <w:r>
              <w:rPr>
                <w:rFonts w:cs="Tahoma"/>
                <w:bCs/>
                <w:szCs w:val="20"/>
                <w:lang w:eastAsia="en-US"/>
              </w:rPr>
              <w:t>Cadent</w:t>
            </w:r>
          </w:p>
        </w:tc>
      </w:tr>
      <w:tr w:rsidR="0069355A" w:rsidRPr="00232395" w14:paraId="24B9BF39" w14:textId="77777777" w:rsidTr="00E61EAA">
        <w:trPr>
          <w:trHeight w:val="482"/>
        </w:trPr>
        <w:tc>
          <w:tcPr>
            <w:tcW w:w="3534" w:type="dxa"/>
            <w:shd w:val="clear" w:color="auto" w:fill="auto"/>
            <w:vAlign w:val="center"/>
          </w:tcPr>
          <w:p w14:paraId="76573466" w14:textId="77777777" w:rsidR="0069355A" w:rsidRDefault="0069355A" w:rsidP="002034B7">
            <w:r>
              <w:t>Alison Cartwright</w:t>
            </w:r>
          </w:p>
        </w:tc>
        <w:tc>
          <w:tcPr>
            <w:tcW w:w="1516" w:type="dxa"/>
            <w:shd w:val="clear" w:color="auto" w:fill="auto"/>
            <w:vAlign w:val="center"/>
          </w:tcPr>
          <w:p w14:paraId="0A82161C" w14:textId="77777777" w:rsidR="0069355A" w:rsidRDefault="0069355A" w:rsidP="002034B7">
            <w:pPr>
              <w:rPr>
                <w:rFonts w:cs="Tahoma"/>
                <w:bCs/>
                <w:szCs w:val="20"/>
                <w:lang w:eastAsia="en-US"/>
              </w:rPr>
            </w:pPr>
            <w:r>
              <w:rPr>
                <w:rFonts w:cs="Tahoma"/>
                <w:bCs/>
                <w:szCs w:val="20"/>
                <w:lang w:eastAsia="en-US"/>
              </w:rPr>
              <w:t>AC</w:t>
            </w:r>
          </w:p>
        </w:tc>
        <w:tc>
          <w:tcPr>
            <w:tcW w:w="3597" w:type="dxa"/>
            <w:shd w:val="clear" w:color="auto" w:fill="auto"/>
            <w:vAlign w:val="center"/>
          </w:tcPr>
          <w:p w14:paraId="3B96D6C3" w14:textId="77777777" w:rsidR="0069355A" w:rsidRDefault="0069355A" w:rsidP="002034B7">
            <w:pPr>
              <w:rPr>
                <w:rFonts w:cs="Tahoma"/>
                <w:bCs/>
                <w:szCs w:val="20"/>
                <w:lang w:eastAsia="en-US"/>
              </w:rPr>
            </w:pPr>
            <w:r>
              <w:rPr>
                <w:rFonts w:cs="Tahoma"/>
                <w:bCs/>
                <w:szCs w:val="20"/>
                <w:lang w:eastAsia="en-US"/>
              </w:rPr>
              <w:t>CNG Services</w:t>
            </w:r>
          </w:p>
        </w:tc>
      </w:tr>
      <w:tr w:rsidR="0069355A" w:rsidRPr="00232395" w14:paraId="1359A9C8" w14:textId="77777777" w:rsidTr="00E61EAA">
        <w:trPr>
          <w:trHeight w:val="482"/>
        </w:trPr>
        <w:tc>
          <w:tcPr>
            <w:tcW w:w="3534" w:type="dxa"/>
            <w:shd w:val="clear" w:color="auto" w:fill="E1F6FF"/>
            <w:vAlign w:val="center"/>
          </w:tcPr>
          <w:p w14:paraId="04E9B305" w14:textId="77777777" w:rsidR="0069355A" w:rsidRDefault="0069355A" w:rsidP="002034B7">
            <w:r>
              <w:t>John Baldwin</w:t>
            </w:r>
          </w:p>
        </w:tc>
        <w:tc>
          <w:tcPr>
            <w:tcW w:w="1516" w:type="dxa"/>
            <w:shd w:val="clear" w:color="auto" w:fill="E1F6FF"/>
            <w:vAlign w:val="center"/>
          </w:tcPr>
          <w:p w14:paraId="14857AF8" w14:textId="77777777" w:rsidR="0069355A" w:rsidRDefault="0069355A" w:rsidP="002034B7">
            <w:pPr>
              <w:rPr>
                <w:rFonts w:cs="Tahoma"/>
                <w:bCs/>
                <w:szCs w:val="20"/>
                <w:lang w:eastAsia="en-US"/>
              </w:rPr>
            </w:pPr>
            <w:r>
              <w:rPr>
                <w:rFonts w:cs="Tahoma"/>
                <w:bCs/>
                <w:szCs w:val="20"/>
                <w:lang w:eastAsia="en-US"/>
              </w:rPr>
              <w:t>JB</w:t>
            </w:r>
          </w:p>
        </w:tc>
        <w:tc>
          <w:tcPr>
            <w:tcW w:w="3597" w:type="dxa"/>
            <w:shd w:val="clear" w:color="auto" w:fill="E1F6FF"/>
            <w:vAlign w:val="center"/>
          </w:tcPr>
          <w:p w14:paraId="5FCB3FC1" w14:textId="77777777" w:rsidR="0069355A" w:rsidRDefault="0069355A" w:rsidP="002034B7">
            <w:pPr>
              <w:rPr>
                <w:rFonts w:cs="Tahoma"/>
                <w:bCs/>
                <w:szCs w:val="20"/>
                <w:lang w:eastAsia="en-US"/>
              </w:rPr>
            </w:pPr>
            <w:r>
              <w:rPr>
                <w:rFonts w:cs="Tahoma"/>
                <w:bCs/>
                <w:szCs w:val="20"/>
                <w:lang w:eastAsia="en-US"/>
              </w:rPr>
              <w:t>CNG Services</w:t>
            </w:r>
          </w:p>
        </w:tc>
      </w:tr>
      <w:tr w:rsidR="0069355A" w:rsidRPr="00232395" w14:paraId="40EAAAF6" w14:textId="77777777" w:rsidTr="00E61EAA">
        <w:trPr>
          <w:trHeight w:val="482"/>
        </w:trPr>
        <w:tc>
          <w:tcPr>
            <w:tcW w:w="3534" w:type="dxa"/>
            <w:shd w:val="clear" w:color="auto" w:fill="auto"/>
            <w:vAlign w:val="center"/>
          </w:tcPr>
          <w:p w14:paraId="71D308E3" w14:textId="77777777" w:rsidR="0069355A" w:rsidRDefault="0069355A" w:rsidP="002034B7">
            <w:r>
              <w:t>Matt Rosenfeld</w:t>
            </w:r>
          </w:p>
        </w:tc>
        <w:tc>
          <w:tcPr>
            <w:tcW w:w="1516" w:type="dxa"/>
            <w:shd w:val="clear" w:color="auto" w:fill="auto"/>
            <w:vAlign w:val="center"/>
          </w:tcPr>
          <w:p w14:paraId="4808E540" w14:textId="77777777" w:rsidR="0069355A" w:rsidRDefault="0069355A" w:rsidP="002034B7">
            <w:pPr>
              <w:rPr>
                <w:rFonts w:cs="Tahoma"/>
                <w:bCs/>
                <w:szCs w:val="20"/>
                <w:lang w:eastAsia="en-US"/>
              </w:rPr>
            </w:pPr>
            <w:r>
              <w:rPr>
                <w:rFonts w:cs="Tahoma"/>
                <w:bCs/>
                <w:szCs w:val="20"/>
                <w:lang w:eastAsia="en-US"/>
              </w:rPr>
              <w:t>MR</w:t>
            </w:r>
          </w:p>
        </w:tc>
        <w:tc>
          <w:tcPr>
            <w:tcW w:w="3597" w:type="dxa"/>
            <w:shd w:val="clear" w:color="auto" w:fill="auto"/>
            <w:vAlign w:val="center"/>
          </w:tcPr>
          <w:p w14:paraId="184F9A99" w14:textId="77777777" w:rsidR="0069355A" w:rsidRDefault="0069355A" w:rsidP="002034B7">
            <w:pPr>
              <w:rPr>
                <w:rFonts w:cs="Tahoma"/>
                <w:bCs/>
                <w:szCs w:val="20"/>
                <w:lang w:eastAsia="en-US"/>
              </w:rPr>
            </w:pPr>
            <w:r>
              <w:rPr>
                <w:rFonts w:cs="Tahoma"/>
                <w:bCs/>
                <w:szCs w:val="20"/>
                <w:lang w:eastAsia="en-US"/>
              </w:rPr>
              <w:t>ENA</w:t>
            </w:r>
          </w:p>
        </w:tc>
      </w:tr>
      <w:tr w:rsidR="0069355A" w:rsidRPr="00232395" w14:paraId="14CDC5A8" w14:textId="77777777" w:rsidTr="00E61EAA">
        <w:trPr>
          <w:trHeight w:val="482"/>
        </w:trPr>
        <w:tc>
          <w:tcPr>
            <w:tcW w:w="3534" w:type="dxa"/>
            <w:shd w:val="clear" w:color="auto" w:fill="E1F6FF"/>
            <w:vAlign w:val="center"/>
          </w:tcPr>
          <w:p w14:paraId="05AD6EDF" w14:textId="77777777" w:rsidR="0069355A" w:rsidRDefault="0069355A" w:rsidP="002034B7">
            <w:r>
              <w:t>Nick Primmer</w:t>
            </w:r>
          </w:p>
        </w:tc>
        <w:tc>
          <w:tcPr>
            <w:tcW w:w="1516" w:type="dxa"/>
            <w:shd w:val="clear" w:color="auto" w:fill="E1F6FF"/>
            <w:vAlign w:val="center"/>
          </w:tcPr>
          <w:p w14:paraId="698309C5" w14:textId="77777777" w:rsidR="0069355A" w:rsidRDefault="0069355A" w:rsidP="002034B7">
            <w:pPr>
              <w:rPr>
                <w:rFonts w:cs="Tahoma"/>
                <w:bCs/>
                <w:szCs w:val="20"/>
                <w:lang w:eastAsia="en-US"/>
              </w:rPr>
            </w:pPr>
            <w:r>
              <w:rPr>
                <w:rFonts w:cs="Tahoma"/>
                <w:bCs/>
                <w:szCs w:val="20"/>
                <w:lang w:eastAsia="en-US"/>
              </w:rPr>
              <w:t>NP</w:t>
            </w:r>
          </w:p>
        </w:tc>
        <w:tc>
          <w:tcPr>
            <w:tcW w:w="3597" w:type="dxa"/>
            <w:shd w:val="clear" w:color="auto" w:fill="E1F6FF"/>
            <w:vAlign w:val="center"/>
          </w:tcPr>
          <w:p w14:paraId="631AC393" w14:textId="77777777" w:rsidR="0069355A" w:rsidRDefault="0069355A" w:rsidP="002034B7">
            <w:pPr>
              <w:rPr>
                <w:rFonts w:cs="Tahoma"/>
                <w:bCs/>
                <w:szCs w:val="20"/>
                <w:lang w:eastAsia="en-US"/>
              </w:rPr>
            </w:pPr>
            <w:r>
              <w:rPr>
                <w:rFonts w:cs="Tahoma"/>
                <w:bCs/>
                <w:szCs w:val="20"/>
                <w:lang w:eastAsia="en-US"/>
              </w:rPr>
              <w:t>Future Biogas</w:t>
            </w:r>
          </w:p>
        </w:tc>
      </w:tr>
      <w:tr w:rsidR="0069355A" w:rsidRPr="00232395" w14:paraId="7A9F425D" w14:textId="77777777" w:rsidTr="00E61EAA">
        <w:trPr>
          <w:trHeight w:val="482"/>
        </w:trPr>
        <w:tc>
          <w:tcPr>
            <w:tcW w:w="3534" w:type="dxa"/>
            <w:shd w:val="clear" w:color="auto" w:fill="auto"/>
            <w:vAlign w:val="center"/>
          </w:tcPr>
          <w:p w14:paraId="35247D0C" w14:textId="77777777" w:rsidR="0069355A" w:rsidRDefault="0069355A" w:rsidP="002034B7">
            <w:r>
              <w:t>David Hurren</w:t>
            </w:r>
          </w:p>
        </w:tc>
        <w:tc>
          <w:tcPr>
            <w:tcW w:w="1516" w:type="dxa"/>
            <w:shd w:val="clear" w:color="auto" w:fill="auto"/>
            <w:vAlign w:val="center"/>
          </w:tcPr>
          <w:p w14:paraId="53DE05FB" w14:textId="77777777" w:rsidR="0069355A" w:rsidRDefault="0069355A" w:rsidP="002034B7">
            <w:pPr>
              <w:rPr>
                <w:rFonts w:cs="Tahoma"/>
                <w:bCs/>
                <w:szCs w:val="20"/>
                <w:lang w:eastAsia="en-US"/>
              </w:rPr>
            </w:pPr>
            <w:r>
              <w:rPr>
                <w:rFonts w:cs="Tahoma"/>
                <w:bCs/>
                <w:szCs w:val="20"/>
                <w:lang w:eastAsia="en-US"/>
              </w:rPr>
              <w:t>DH</w:t>
            </w:r>
          </w:p>
        </w:tc>
        <w:tc>
          <w:tcPr>
            <w:tcW w:w="3597" w:type="dxa"/>
            <w:shd w:val="clear" w:color="auto" w:fill="auto"/>
            <w:vAlign w:val="center"/>
          </w:tcPr>
          <w:p w14:paraId="0798591C" w14:textId="7A6E877C" w:rsidR="0069355A" w:rsidRDefault="0069355A" w:rsidP="002034B7">
            <w:pPr>
              <w:rPr>
                <w:rFonts w:cs="Tahoma"/>
                <w:bCs/>
                <w:szCs w:val="20"/>
                <w:lang w:eastAsia="en-US"/>
              </w:rPr>
            </w:pPr>
            <w:r>
              <w:rPr>
                <w:rFonts w:cs="Tahoma"/>
                <w:bCs/>
                <w:szCs w:val="20"/>
                <w:lang w:eastAsia="en-US"/>
              </w:rPr>
              <w:t>Independent</w:t>
            </w:r>
            <w:r w:rsidR="002A25B3">
              <w:rPr>
                <w:rFonts w:cs="Tahoma"/>
                <w:bCs/>
                <w:szCs w:val="20"/>
                <w:lang w:eastAsia="en-US"/>
              </w:rPr>
              <w:t xml:space="preserve"> (formerly Air Liquide)</w:t>
            </w:r>
          </w:p>
        </w:tc>
      </w:tr>
      <w:tr w:rsidR="0069355A" w:rsidRPr="00232395" w14:paraId="1DA90B1F" w14:textId="77777777" w:rsidTr="00E61EAA">
        <w:trPr>
          <w:trHeight w:val="482"/>
        </w:trPr>
        <w:tc>
          <w:tcPr>
            <w:tcW w:w="3534" w:type="dxa"/>
            <w:shd w:val="clear" w:color="auto" w:fill="E1F6FF"/>
            <w:vAlign w:val="center"/>
          </w:tcPr>
          <w:p w14:paraId="4AC1D6A8" w14:textId="77777777" w:rsidR="0069355A" w:rsidRDefault="0069355A" w:rsidP="002034B7">
            <w:r>
              <w:t>Daniel Laverick</w:t>
            </w:r>
          </w:p>
        </w:tc>
        <w:tc>
          <w:tcPr>
            <w:tcW w:w="1516" w:type="dxa"/>
            <w:shd w:val="clear" w:color="auto" w:fill="E1F6FF"/>
            <w:vAlign w:val="center"/>
          </w:tcPr>
          <w:p w14:paraId="0954C207" w14:textId="77777777" w:rsidR="0069355A" w:rsidRDefault="0069355A" w:rsidP="002034B7">
            <w:pPr>
              <w:rPr>
                <w:rFonts w:cs="Tahoma"/>
                <w:bCs/>
                <w:szCs w:val="20"/>
                <w:lang w:eastAsia="en-US"/>
              </w:rPr>
            </w:pPr>
            <w:r>
              <w:rPr>
                <w:rFonts w:cs="Tahoma"/>
                <w:bCs/>
                <w:szCs w:val="20"/>
                <w:lang w:eastAsia="en-US"/>
              </w:rPr>
              <w:t>DL</w:t>
            </w:r>
          </w:p>
        </w:tc>
        <w:tc>
          <w:tcPr>
            <w:tcW w:w="3597" w:type="dxa"/>
            <w:shd w:val="clear" w:color="auto" w:fill="E1F6FF"/>
            <w:vAlign w:val="center"/>
          </w:tcPr>
          <w:p w14:paraId="13A4359A" w14:textId="77777777" w:rsidR="0069355A" w:rsidRDefault="0069355A" w:rsidP="002034B7">
            <w:pPr>
              <w:rPr>
                <w:rFonts w:cs="Tahoma"/>
                <w:bCs/>
                <w:szCs w:val="20"/>
                <w:lang w:eastAsia="en-US"/>
              </w:rPr>
            </w:pPr>
            <w:r>
              <w:rPr>
                <w:rFonts w:cs="Tahoma"/>
                <w:bCs/>
                <w:szCs w:val="20"/>
                <w:lang w:eastAsia="en-US"/>
              </w:rPr>
              <w:t>NGN</w:t>
            </w:r>
          </w:p>
        </w:tc>
      </w:tr>
      <w:tr w:rsidR="0069355A" w:rsidRPr="00232395" w14:paraId="2BD8CC07" w14:textId="77777777" w:rsidTr="00E61EAA">
        <w:trPr>
          <w:trHeight w:val="482"/>
        </w:trPr>
        <w:tc>
          <w:tcPr>
            <w:tcW w:w="3534" w:type="dxa"/>
            <w:shd w:val="clear" w:color="auto" w:fill="auto"/>
            <w:vAlign w:val="center"/>
          </w:tcPr>
          <w:p w14:paraId="791C643F" w14:textId="77777777" w:rsidR="0069355A" w:rsidRPr="00232395" w:rsidRDefault="0069355A" w:rsidP="002034B7">
            <w:pPr>
              <w:rPr>
                <w:rFonts w:cs="Tahoma"/>
                <w:bCs/>
                <w:szCs w:val="20"/>
                <w:lang w:eastAsia="en-US"/>
              </w:rPr>
            </w:pPr>
            <w:r>
              <w:rPr>
                <w:rFonts w:cs="Tahoma"/>
                <w:bCs/>
                <w:szCs w:val="20"/>
                <w:lang w:eastAsia="en-US"/>
              </w:rPr>
              <w:t>Emma Buckton</w:t>
            </w:r>
          </w:p>
        </w:tc>
        <w:tc>
          <w:tcPr>
            <w:tcW w:w="1516" w:type="dxa"/>
            <w:shd w:val="clear" w:color="auto" w:fill="auto"/>
            <w:vAlign w:val="center"/>
          </w:tcPr>
          <w:p w14:paraId="513EC9BC" w14:textId="77777777" w:rsidR="0069355A" w:rsidRPr="00232395" w:rsidRDefault="0069355A" w:rsidP="002034B7">
            <w:pPr>
              <w:rPr>
                <w:rFonts w:cs="Tahoma"/>
                <w:bCs/>
                <w:szCs w:val="20"/>
                <w:lang w:eastAsia="en-US"/>
              </w:rPr>
            </w:pPr>
            <w:r>
              <w:rPr>
                <w:rFonts w:cs="Tahoma"/>
                <w:bCs/>
                <w:szCs w:val="20"/>
                <w:lang w:eastAsia="en-US"/>
              </w:rPr>
              <w:t>EB</w:t>
            </w:r>
          </w:p>
        </w:tc>
        <w:tc>
          <w:tcPr>
            <w:tcW w:w="3597" w:type="dxa"/>
            <w:shd w:val="clear" w:color="auto" w:fill="auto"/>
            <w:vAlign w:val="center"/>
          </w:tcPr>
          <w:p w14:paraId="70CE0D15" w14:textId="77777777" w:rsidR="0069355A" w:rsidRPr="00232395" w:rsidRDefault="0069355A" w:rsidP="002034B7">
            <w:pPr>
              <w:rPr>
                <w:rFonts w:cs="Tahoma"/>
                <w:bCs/>
                <w:szCs w:val="20"/>
                <w:lang w:eastAsia="en-US"/>
              </w:rPr>
            </w:pPr>
            <w:r>
              <w:rPr>
                <w:rFonts w:cs="Tahoma"/>
                <w:bCs/>
                <w:szCs w:val="20"/>
                <w:lang w:eastAsia="en-US"/>
              </w:rPr>
              <w:t>NGN</w:t>
            </w:r>
          </w:p>
        </w:tc>
      </w:tr>
      <w:tr w:rsidR="0069355A" w:rsidRPr="00232395" w14:paraId="6B76C3F9" w14:textId="77777777" w:rsidTr="003D171C">
        <w:trPr>
          <w:trHeight w:val="482"/>
        </w:trPr>
        <w:tc>
          <w:tcPr>
            <w:tcW w:w="3534" w:type="dxa"/>
            <w:shd w:val="clear" w:color="auto" w:fill="E1F6FF"/>
            <w:vAlign w:val="center"/>
          </w:tcPr>
          <w:p w14:paraId="3717E383" w14:textId="77777777" w:rsidR="0069355A" w:rsidRDefault="0069355A" w:rsidP="002034B7">
            <w:r>
              <w:t>Peter Thomson</w:t>
            </w:r>
          </w:p>
        </w:tc>
        <w:tc>
          <w:tcPr>
            <w:tcW w:w="1516" w:type="dxa"/>
            <w:shd w:val="clear" w:color="auto" w:fill="E1F6FF"/>
            <w:vAlign w:val="center"/>
          </w:tcPr>
          <w:p w14:paraId="2A7FF08F" w14:textId="77777777" w:rsidR="0069355A" w:rsidRDefault="0069355A" w:rsidP="002034B7">
            <w:pPr>
              <w:rPr>
                <w:rFonts w:cs="Tahoma"/>
                <w:bCs/>
                <w:szCs w:val="20"/>
                <w:lang w:eastAsia="en-US"/>
              </w:rPr>
            </w:pPr>
            <w:r>
              <w:rPr>
                <w:rFonts w:cs="Tahoma"/>
                <w:bCs/>
                <w:szCs w:val="20"/>
                <w:lang w:eastAsia="en-US"/>
              </w:rPr>
              <w:t>PT</w:t>
            </w:r>
          </w:p>
        </w:tc>
        <w:tc>
          <w:tcPr>
            <w:tcW w:w="3597" w:type="dxa"/>
            <w:shd w:val="clear" w:color="auto" w:fill="E1F6FF"/>
            <w:vAlign w:val="center"/>
          </w:tcPr>
          <w:p w14:paraId="093C5ADF" w14:textId="77777777" w:rsidR="0069355A" w:rsidRDefault="0069355A" w:rsidP="002034B7">
            <w:pPr>
              <w:rPr>
                <w:rFonts w:cs="Tahoma"/>
                <w:bCs/>
                <w:szCs w:val="20"/>
                <w:lang w:eastAsia="en-US"/>
              </w:rPr>
            </w:pPr>
            <w:r>
              <w:rPr>
                <w:rFonts w:cs="Tahoma"/>
                <w:bCs/>
                <w:szCs w:val="20"/>
                <w:lang w:eastAsia="en-US"/>
              </w:rPr>
              <w:t>NGN</w:t>
            </w:r>
          </w:p>
        </w:tc>
      </w:tr>
      <w:tr w:rsidR="0069355A" w:rsidRPr="00232395" w14:paraId="4BB0BB2B" w14:textId="77777777" w:rsidTr="003D171C">
        <w:trPr>
          <w:trHeight w:val="482"/>
        </w:trPr>
        <w:tc>
          <w:tcPr>
            <w:tcW w:w="3534" w:type="dxa"/>
            <w:shd w:val="clear" w:color="auto" w:fill="auto"/>
            <w:vAlign w:val="center"/>
          </w:tcPr>
          <w:p w14:paraId="464912AE" w14:textId="77777777" w:rsidR="0069355A" w:rsidRDefault="0069355A" w:rsidP="002034B7">
            <w:r>
              <w:t>Russell Brown</w:t>
            </w:r>
          </w:p>
        </w:tc>
        <w:tc>
          <w:tcPr>
            <w:tcW w:w="1516" w:type="dxa"/>
            <w:shd w:val="clear" w:color="auto" w:fill="auto"/>
            <w:vAlign w:val="center"/>
          </w:tcPr>
          <w:p w14:paraId="7C5E7459" w14:textId="77777777" w:rsidR="0069355A" w:rsidRDefault="0069355A" w:rsidP="002034B7">
            <w:pPr>
              <w:rPr>
                <w:rFonts w:cs="Tahoma"/>
                <w:bCs/>
                <w:szCs w:val="20"/>
                <w:lang w:eastAsia="en-US"/>
              </w:rPr>
            </w:pPr>
            <w:r>
              <w:rPr>
                <w:rFonts w:cs="Tahoma"/>
                <w:bCs/>
                <w:szCs w:val="20"/>
                <w:lang w:eastAsia="en-US"/>
              </w:rPr>
              <w:t>RB</w:t>
            </w:r>
          </w:p>
        </w:tc>
        <w:tc>
          <w:tcPr>
            <w:tcW w:w="3597" w:type="dxa"/>
            <w:shd w:val="clear" w:color="auto" w:fill="auto"/>
            <w:vAlign w:val="center"/>
          </w:tcPr>
          <w:p w14:paraId="4EA2840D" w14:textId="77777777" w:rsidR="0069355A" w:rsidRDefault="0069355A" w:rsidP="002034B7">
            <w:pPr>
              <w:rPr>
                <w:rFonts w:cs="Tahoma"/>
                <w:bCs/>
                <w:szCs w:val="20"/>
                <w:lang w:eastAsia="en-US"/>
              </w:rPr>
            </w:pPr>
            <w:r>
              <w:rPr>
                <w:rFonts w:cs="Tahoma"/>
                <w:bCs/>
                <w:szCs w:val="20"/>
                <w:lang w:eastAsia="en-US"/>
              </w:rPr>
              <w:t>nZero</w:t>
            </w:r>
          </w:p>
        </w:tc>
      </w:tr>
      <w:tr w:rsidR="0069355A" w:rsidRPr="00232395" w14:paraId="05DEE1B2" w14:textId="77777777" w:rsidTr="00E61EAA">
        <w:trPr>
          <w:trHeight w:val="482"/>
        </w:trPr>
        <w:tc>
          <w:tcPr>
            <w:tcW w:w="3534" w:type="dxa"/>
            <w:shd w:val="clear" w:color="auto" w:fill="E1F6FF"/>
            <w:vAlign w:val="center"/>
          </w:tcPr>
          <w:p w14:paraId="56092F4B" w14:textId="77777777" w:rsidR="0069355A" w:rsidRDefault="0069355A" w:rsidP="002034B7">
            <w:r>
              <w:t>Andrew Brown</w:t>
            </w:r>
          </w:p>
        </w:tc>
        <w:tc>
          <w:tcPr>
            <w:tcW w:w="1516" w:type="dxa"/>
            <w:shd w:val="clear" w:color="auto" w:fill="E1F6FF"/>
            <w:vAlign w:val="center"/>
          </w:tcPr>
          <w:p w14:paraId="396845CF" w14:textId="2905E99C" w:rsidR="0069355A" w:rsidRDefault="00E61EAA" w:rsidP="002034B7">
            <w:pPr>
              <w:rPr>
                <w:rFonts w:cs="Tahoma"/>
                <w:bCs/>
                <w:szCs w:val="20"/>
                <w:lang w:eastAsia="en-US"/>
              </w:rPr>
            </w:pPr>
            <w:r>
              <w:rPr>
                <w:rFonts w:cs="Tahoma"/>
                <w:bCs/>
                <w:szCs w:val="20"/>
                <w:lang w:eastAsia="en-US"/>
              </w:rPr>
              <w:t>A</w:t>
            </w:r>
            <w:r w:rsidR="0069355A">
              <w:rPr>
                <w:rFonts w:cs="Tahoma"/>
                <w:bCs/>
                <w:szCs w:val="20"/>
                <w:lang w:eastAsia="en-US"/>
              </w:rPr>
              <w:t>B</w:t>
            </w:r>
          </w:p>
        </w:tc>
        <w:tc>
          <w:tcPr>
            <w:tcW w:w="3597" w:type="dxa"/>
            <w:shd w:val="clear" w:color="auto" w:fill="E1F6FF"/>
            <w:vAlign w:val="center"/>
          </w:tcPr>
          <w:p w14:paraId="704AEFD0" w14:textId="77777777" w:rsidR="0069355A" w:rsidRDefault="0069355A" w:rsidP="002034B7">
            <w:pPr>
              <w:rPr>
                <w:rFonts w:cs="Tahoma"/>
                <w:bCs/>
                <w:szCs w:val="20"/>
                <w:lang w:eastAsia="en-US"/>
              </w:rPr>
            </w:pPr>
            <w:r>
              <w:rPr>
                <w:rFonts w:cs="Tahoma"/>
                <w:bCs/>
                <w:szCs w:val="20"/>
                <w:lang w:eastAsia="en-US"/>
              </w:rPr>
              <w:t>SGN</w:t>
            </w:r>
          </w:p>
        </w:tc>
      </w:tr>
      <w:tr w:rsidR="0069355A" w:rsidRPr="00232395" w14:paraId="35E90DBF" w14:textId="77777777" w:rsidTr="003A5D0D">
        <w:trPr>
          <w:trHeight w:val="482"/>
        </w:trPr>
        <w:tc>
          <w:tcPr>
            <w:tcW w:w="3534" w:type="dxa"/>
            <w:shd w:val="clear" w:color="auto" w:fill="auto"/>
            <w:vAlign w:val="center"/>
          </w:tcPr>
          <w:p w14:paraId="52852921" w14:textId="77777777" w:rsidR="0069355A" w:rsidRDefault="0069355A" w:rsidP="002034B7">
            <w:r>
              <w:t>Elysia Roy</w:t>
            </w:r>
          </w:p>
        </w:tc>
        <w:tc>
          <w:tcPr>
            <w:tcW w:w="1516" w:type="dxa"/>
            <w:shd w:val="clear" w:color="auto" w:fill="auto"/>
            <w:vAlign w:val="center"/>
          </w:tcPr>
          <w:p w14:paraId="5987AB0E" w14:textId="77777777" w:rsidR="0069355A" w:rsidRDefault="0069355A" w:rsidP="002034B7">
            <w:pPr>
              <w:rPr>
                <w:rFonts w:cs="Tahoma"/>
                <w:bCs/>
                <w:szCs w:val="20"/>
                <w:lang w:eastAsia="en-US"/>
              </w:rPr>
            </w:pPr>
            <w:r>
              <w:rPr>
                <w:rFonts w:cs="Tahoma"/>
                <w:bCs/>
                <w:szCs w:val="20"/>
                <w:lang w:eastAsia="en-US"/>
              </w:rPr>
              <w:t>ER</w:t>
            </w:r>
          </w:p>
        </w:tc>
        <w:tc>
          <w:tcPr>
            <w:tcW w:w="3597" w:type="dxa"/>
            <w:shd w:val="clear" w:color="auto" w:fill="auto"/>
            <w:vAlign w:val="center"/>
          </w:tcPr>
          <w:p w14:paraId="44BA30A5" w14:textId="77777777" w:rsidR="0069355A" w:rsidRDefault="0069355A" w:rsidP="002034B7">
            <w:pPr>
              <w:rPr>
                <w:rFonts w:cs="Tahoma"/>
                <w:bCs/>
                <w:szCs w:val="20"/>
                <w:lang w:eastAsia="en-US"/>
              </w:rPr>
            </w:pPr>
            <w:r>
              <w:rPr>
                <w:rFonts w:cs="Tahoma"/>
                <w:bCs/>
                <w:szCs w:val="20"/>
                <w:lang w:eastAsia="en-US"/>
              </w:rPr>
              <w:t>SGN</w:t>
            </w:r>
          </w:p>
        </w:tc>
      </w:tr>
      <w:tr w:rsidR="0069355A" w:rsidRPr="00232395" w14:paraId="72A5C10D" w14:textId="77777777" w:rsidTr="000C66B8">
        <w:trPr>
          <w:trHeight w:val="482"/>
        </w:trPr>
        <w:tc>
          <w:tcPr>
            <w:tcW w:w="3534" w:type="dxa"/>
            <w:shd w:val="clear" w:color="auto" w:fill="E1F6FF"/>
            <w:vAlign w:val="center"/>
          </w:tcPr>
          <w:p w14:paraId="48C13021" w14:textId="77777777" w:rsidR="0069355A" w:rsidRDefault="0069355A" w:rsidP="002034B7">
            <w:r>
              <w:t>Joel Martin (Chair)</w:t>
            </w:r>
          </w:p>
        </w:tc>
        <w:tc>
          <w:tcPr>
            <w:tcW w:w="1516" w:type="dxa"/>
            <w:shd w:val="clear" w:color="auto" w:fill="E1F6FF"/>
            <w:vAlign w:val="center"/>
          </w:tcPr>
          <w:p w14:paraId="3660305D" w14:textId="77777777" w:rsidR="0069355A" w:rsidRDefault="0069355A" w:rsidP="002034B7">
            <w:pPr>
              <w:rPr>
                <w:rFonts w:cs="Tahoma"/>
                <w:bCs/>
                <w:szCs w:val="20"/>
                <w:lang w:eastAsia="en-US"/>
              </w:rPr>
            </w:pPr>
            <w:r>
              <w:rPr>
                <w:rFonts w:cs="Tahoma"/>
                <w:bCs/>
                <w:szCs w:val="20"/>
                <w:lang w:eastAsia="en-US"/>
              </w:rPr>
              <w:t>JM</w:t>
            </w:r>
          </w:p>
        </w:tc>
        <w:tc>
          <w:tcPr>
            <w:tcW w:w="3597" w:type="dxa"/>
            <w:shd w:val="clear" w:color="auto" w:fill="E1F6FF"/>
            <w:vAlign w:val="center"/>
          </w:tcPr>
          <w:p w14:paraId="232C397A" w14:textId="77777777" w:rsidR="0069355A" w:rsidRDefault="0069355A" w:rsidP="002034B7">
            <w:pPr>
              <w:rPr>
                <w:rFonts w:cs="Tahoma"/>
                <w:bCs/>
                <w:szCs w:val="20"/>
                <w:lang w:eastAsia="en-US"/>
              </w:rPr>
            </w:pPr>
            <w:r>
              <w:rPr>
                <w:rFonts w:cs="Tahoma"/>
                <w:bCs/>
                <w:szCs w:val="20"/>
                <w:lang w:eastAsia="en-US"/>
              </w:rPr>
              <w:t>SGN</w:t>
            </w:r>
          </w:p>
        </w:tc>
      </w:tr>
      <w:tr w:rsidR="0069355A" w:rsidRPr="00232395" w14:paraId="0FD8B236" w14:textId="77777777" w:rsidTr="000C66B8">
        <w:trPr>
          <w:trHeight w:val="482"/>
        </w:trPr>
        <w:tc>
          <w:tcPr>
            <w:tcW w:w="3534" w:type="dxa"/>
            <w:shd w:val="clear" w:color="auto" w:fill="auto"/>
            <w:vAlign w:val="center"/>
          </w:tcPr>
          <w:p w14:paraId="5BEC17B7" w14:textId="77777777" w:rsidR="0069355A" w:rsidRDefault="0069355A" w:rsidP="002034B7">
            <w:r>
              <w:t>Tony Gillespie</w:t>
            </w:r>
          </w:p>
        </w:tc>
        <w:tc>
          <w:tcPr>
            <w:tcW w:w="1516" w:type="dxa"/>
            <w:shd w:val="clear" w:color="auto" w:fill="auto"/>
            <w:vAlign w:val="center"/>
          </w:tcPr>
          <w:p w14:paraId="0B56BB66" w14:textId="77777777" w:rsidR="0069355A" w:rsidRDefault="0069355A" w:rsidP="002034B7">
            <w:pPr>
              <w:rPr>
                <w:rFonts w:cs="Tahoma"/>
                <w:bCs/>
                <w:szCs w:val="20"/>
                <w:lang w:eastAsia="en-US"/>
              </w:rPr>
            </w:pPr>
            <w:r>
              <w:rPr>
                <w:rFonts w:cs="Tahoma"/>
                <w:bCs/>
                <w:szCs w:val="20"/>
                <w:lang w:eastAsia="en-US"/>
              </w:rPr>
              <w:t>TG</w:t>
            </w:r>
          </w:p>
        </w:tc>
        <w:tc>
          <w:tcPr>
            <w:tcW w:w="3597" w:type="dxa"/>
            <w:shd w:val="clear" w:color="auto" w:fill="auto"/>
            <w:vAlign w:val="center"/>
          </w:tcPr>
          <w:p w14:paraId="195FEB75" w14:textId="77777777" w:rsidR="0069355A" w:rsidRDefault="0069355A" w:rsidP="002034B7">
            <w:pPr>
              <w:rPr>
                <w:rFonts w:cs="Tahoma"/>
                <w:bCs/>
                <w:szCs w:val="20"/>
                <w:lang w:eastAsia="en-US"/>
              </w:rPr>
            </w:pPr>
            <w:r>
              <w:rPr>
                <w:rFonts w:cs="Tahoma"/>
                <w:bCs/>
                <w:szCs w:val="20"/>
                <w:lang w:eastAsia="en-US"/>
              </w:rPr>
              <w:t>SGN</w:t>
            </w:r>
          </w:p>
        </w:tc>
      </w:tr>
      <w:tr w:rsidR="0069355A" w:rsidRPr="00232395" w14:paraId="222A9F02" w14:textId="77777777" w:rsidTr="00E61EAA">
        <w:trPr>
          <w:trHeight w:val="482"/>
        </w:trPr>
        <w:tc>
          <w:tcPr>
            <w:tcW w:w="3534" w:type="dxa"/>
            <w:shd w:val="clear" w:color="auto" w:fill="E1F6FF"/>
            <w:vAlign w:val="center"/>
          </w:tcPr>
          <w:p w14:paraId="073978C5" w14:textId="77777777" w:rsidR="0069355A" w:rsidRDefault="0069355A" w:rsidP="002034B7">
            <w:r>
              <w:t>Charlotte Marcel</w:t>
            </w:r>
          </w:p>
        </w:tc>
        <w:tc>
          <w:tcPr>
            <w:tcW w:w="1516" w:type="dxa"/>
            <w:shd w:val="clear" w:color="auto" w:fill="E1F6FF"/>
            <w:vAlign w:val="center"/>
          </w:tcPr>
          <w:p w14:paraId="42DAC50E" w14:textId="77777777" w:rsidR="0069355A" w:rsidRDefault="0069355A" w:rsidP="002034B7">
            <w:pPr>
              <w:rPr>
                <w:rFonts w:cs="Tahoma"/>
                <w:bCs/>
                <w:szCs w:val="20"/>
                <w:lang w:eastAsia="en-US"/>
              </w:rPr>
            </w:pPr>
            <w:r>
              <w:rPr>
                <w:rFonts w:cs="Tahoma"/>
                <w:bCs/>
                <w:szCs w:val="20"/>
                <w:lang w:eastAsia="en-US"/>
              </w:rPr>
              <w:t>CM</w:t>
            </w:r>
          </w:p>
        </w:tc>
        <w:tc>
          <w:tcPr>
            <w:tcW w:w="3597" w:type="dxa"/>
            <w:shd w:val="clear" w:color="auto" w:fill="E1F6FF"/>
            <w:vAlign w:val="center"/>
          </w:tcPr>
          <w:p w14:paraId="5DC6795C" w14:textId="77777777" w:rsidR="0069355A" w:rsidRDefault="0069355A" w:rsidP="002034B7">
            <w:pPr>
              <w:rPr>
                <w:rFonts w:cs="Tahoma"/>
                <w:bCs/>
                <w:szCs w:val="20"/>
                <w:lang w:eastAsia="en-US"/>
              </w:rPr>
            </w:pPr>
            <w:r>
              <w:rPr>
                <w:rFonts w:cs="Tahoma"/>
                <w:bCs/>
                <w:szCs w:val="20"/>
                <w:lang w:eastAsia="en-US"/>
              </w:rPr>
              <w:t>WAGA</w:t>
            </w:r>
          </w:p>
        </w:tc>
      </w:tr>
      <w:tr w:rsidR="0069355A" w:rsidRPr="00232395" w14:paraId="6EC9499B" w14:textId="77777777" w:rsidTr="00E61EAA">
        <w:trPr>
          <w:trHeight w:val="482"/>
        </w:trPr>
        <w:tc>
          <w:tcPr>
            <w:tcW w:w="3534" w:type="dxa"/>
            <w:shd w:val="clear" w:color="auto" w:fill="auto"/>
            <w:vAlign w:val="center"/>
          </w:tcPr>
          <w:p w14:paraId="5822C85F" w14:textId="77777777" w:rsidR="0069355A" w:rsidRDefault="0069355A" w:rsidP="002034B7">
            <w:r>
              <w:t>Catherine Litster</w:t>
            </w:r>
          </w:p>
        </w:tc>
        <w:tc>
          <w:tcPr>
            <w:tcW w:w="1516" w:type="dxa"/>
            <w:shd w:val="clear" w:color="auto" w:fill="auto"/>
            <w:vAlign w:val="center"/>
          </w:tcPr>
          <w:p w14:paraId="496DCAA4" w14:textId="77777777" w:rsidR="0069355A" w:rsidRDefault="0069355A" w:rsidP="002034B7">
            <w:pPr>
              <w:rPr>
                <w:rFonts w:cs="Tahoma"/>
                <w:bCs/>
                <w:szCs w:val="20"/>
                <w:lang w:eastAsia="en-US"/>
              </w:rPr>
            </w:pPr>
            <w:r>
              <w:rPr>
                <w:rFonts w:cs="Tahoma"/>
                <w:bCs/>
                <w:szCs w:val="20"/>
                <w:lang w:eastAsia="en-US"/>
              </w:rPr>
              <w:t>CL</w:t>
            </w:r>
          </w:p>
        </w:tc>
        <w:tc>
          <w:tcPr>
            <w:tcW w:w="3597" w:type="dxa"/>
            <w:shd w:val="clear" w:color="auto" w:fill="auto"/>
            <w:vAlign w:val="center"/>
          </w:tcPr>
          <w:p w14:paraId="1403BF29" w14:textId="77777777" w:rsidR="0069355A" w:rsidRDefault="0069355A" w:rsidP="002034B7">
            <w:pPr>
              <w:rPr>
                <w:rFonts w:cs="Tahoma"/>
                <w:bCs/>
                <w:szCs w:val="20"/>
                <w:lang w:eastAsia="en-US"/>
              </w:rPr>
            </w:pPr>
            <w:r>
              <w:rPr>
                <w:rFonts w:cs="Tahoma"/>
                <w:bCs/>
                <w:szCs w:val="20"/>
                <w:lang w:eastAsia="en-US"/>
              </w:rPr>
              <w:t>WWU</w:t>
            </w:r>
          </w:p>
        </w:tc>
      </w:tr>
      <w:tr w:rsidR="0069355A" w:rsidRPr="00232395" w14:paraId="7840D85D" w14:textId="77777777" w:rsidTr="003D171C">
        <w:trPr>
          <w:trHeight w:val="482"/>
        </w:trPr>
        <w:tc>
          <w:tcPr>
            <w:tcW w:w="3534" w:type="dxa"/>
            <w:shd w:val="clear" w:color="auto" w:fill="E1F6FF"/>
            <w:vAlign w:val="center"/>
          </w:tcPr>
          <w:p w14:paraId="3B19A49D" w14:textId="77777777" w:rsidR="0069355A" w:rsidRDefault="0069355A" w:rsidP="002034B7">
            <w:r>
              <w:t>Helen Fitzgerald</w:t>
            </w:r>
          </w:p>
        </w:tc>
        <w:tc>
          <w:tcPr>
            <w:tcW w:w="1516" w:type="dxa"/>
            <w:shd w:val="clear" w:color="auto" w:fill="E1F6FF"/>
            <w:vAlign w:val="center"/>
          </w:tcPr>
          <w:p w14:paraId="61CCE4B0" w14:textId="77777777" w:rsidR="0069355A" w:rsidRDefault="0069355A" w:rsidP="002034B7">
            <w:pPr>
              <w:rPr>
                <w:rFonts w:cs="Tahoma"/>
                <w:bCs/>
                <w:szCs w:val="20"/>
                <w:lang w:eastAsia="en-US"/>
              </w:rPr>
            </w:pPr>
            <w:r>
              <w:rPr>
                <w:rFonts w:cs="Tahoma"/>
                <w:bCs/>
                <w:szCs w:val="20"/>
                <w:lang w:eastAsia="en-US"/>
              </w:rPr>
              <w:t>HF</w:t>
            </w:r>
          </w:p>
        </w:tc>
        <w:tc>
          <w:tcPr>
            <w:tcW w:w="3597" w:type="dxa"/>
            <w:shd w:val="clear" w:color="auto" w:fill="E1F6FF"/>
            <w:vAlign w:val="center"/>
          </w:tcPr>
          <w:p w14:paraId="0C6E22FC" w14:textId="77777777" w:rsidR="0069355A" w:rsidRDefault="0069355A" w:rsidP="002034B7">
            <w:pPr>
              <w:rPr>
                <w:rFonts w:cs="Tahoma"/>
                <w:bCs/>
                <w:szCs w:val="20"/>
                <w:lang w:eastAsia="en-US"/>
              </w:rPr>
            </w:pPr>
            <w:r>
              <w:rPr>
                <w:rFonts w:cs="Tahoma"/>
                <w:bCs/>
                <w:szCs w:val="20"/>
                <w:lang w:eastAsia="en-US"/>
              </w:rPr>
              <w:t>WWU</w:t>
            </w:r>
          </w:p>
        </w:tc>
      </w:tr>
    </w:tbl>
    <w:p w14:paraId="2DB52751" w14:textId="5168B101" w:rsidR="00547294" w:rsidRDefault="00F4406B" w:rsidP="00F4406B">
      <w:pPr>
        <w:pStyle w:val="SUBHEADING"/>
      </w:pPr>
      <w:r>
        <w:lastRenderedPageBreak/>
        <w:t>MEETING NOTES AND ACTIONS</w:t>
      </w:r>
    </w:p>
    <w:tbl>
      <w:tblPr>
        <w:tblW w:w="9778" w:type="dxa"/>
        <w:tblBorders>
          <w:top w:val="single" w:sz="2" w:space="0" w:color="A6ACA9" w:themeColor="background2"/>
          <w:left w:val="single" w:sz="2" w:space="0" w:color="A6ACA9" w:themeColor="background2"/>
          <w:bottom w:val="single" w:sz="2" w:space="0" w:color="A6ACA9" w:themeColor="background2"/>
          <w:right w:val="single" w:sz="2" w:space="0" w:color="A6ACA9" w:themeColor="background2"/>
          <w:insideH w:val="single" w:sz="2" w:space="0" w:color="A6ACA9" w:themeColor="background2"/>
          <w:insideV w:val="single" w:sz="2" w:space="0" w:color="A6ACA9" w:themeColor="background2"/>
        </w:tblBorders>
        <w:tblLook w:val="0420" w:firstRow="1" w:lastRow="0" w:firstColumn="0" w:lastColumn="0" w:noHBand="0" w:noVBand="1"/>
      </w:tblPr>
      <w:tblGrid>
        <w:gridCol w:w="8077"/>
        <w:gridCol w:w="1701"/>
      </w:tblGrid>
      <w:tr w:rsidR="002034B7" w:rsidRPr="00232395" w14:paraId="50D1F447" w14:textId="77777777" w:rsidTr="00D34903">
        <w:trPr>
          <w:trHeight w:val="482"/>
        </w:trPr>
        <w:tc>
          <w:tcPr>
            <w:tcW w:w="8077" w:type="dxa"/>
            <w:shd w:val="clear" w:color="auto" w:fill="009FE3" w:themeFill="accent4"/>
            <w:vAlign w:val="center"/>
          </w:tcPr>
          <w:p w14:paraId="00558ECE" w14:textId="2A0BEB2C" w:rsidR="002034B7" w:rsidRPr="003A5D0D" w:rsidRDefault="003A5D0D" w:rsidP="003A5D0D">
            <w:pPr>
              <w:rPr>
                <w:rFonts w:cs="Tahoma"/>
                <w:b/>
                <w:bCs/>
                <w:color w:val="FFFFFF" w:themeColor="background1"/>
                <w:szCs w:val="20"/>
                <w:lang w:eastAsia="en-US"/>
              </w:rPr>
            </w:pPr>
            <w:r w:rsidRPr="003A5D0D">
              <w:rPr>
                <w:rFonts w:cs="Tahoma"/>
                <w:b/>
                <w:bCs/>
                <w:color w:val="FFFFFF" w:themeColor="background1"/>
                <w:szCs w:val="20"/>
                <w:lang w:eastAsia="en-US"/>
              </w:rPr>
              <w:t>2.</w:t>
            </w:r>
            <w:r>
              <w:rPr>
                <w:rFonts w:cs="Tahoma"/>
                <w:b/>
                <w:bCs/>
                <w:color w:val="FFFFFF" w:themeColor="background1"/>
                <w:szCs w:val="20"/>
                <w:lang w:eastAsia="en-US"/>
              </w:rPr>
              <w:t xml:space="preserve"> </w:t>
            </w:r>
            <w:r w:rsidR="000B7ECA">
              <w:rPr>
                <w:rFonts w:cs="Tahoma"/>
                <w:b/>
                <w:bCs/>
                <w:color w:val="FFFFFF" w:themeColor="background1"/>
                <w:szCs w:val="20"/>
                <w:lang w:eastAsia="en-US"/>
              </w:rPr>
              <w:t>Action Log Update</w:t>
            </w:r>
          </w:p>
        </w:tc>
        <w:tc>
          <w:tcPr>
            <w:tcW w:w="1701" w:type="dxa"/>
            <w:shd w:val="clear" w:color="auto" w:fill="009FE3" w:themeFill="accent4"/>
            <w:vAlign w:val="center"/>
          </w:tcPr>
          <w:p w14:paraId="6D5429BC" w14:textId="00613B2B" w:rsidR="002034B7" w:rsidRPr="00232395" w:rsidRDefault="000B7ECA" w:rsidP="0035282C">
            <w:pPr>
              <w:jc w:val="center"/>
              <w:rPr>
                <w:rFonts w:cs="Tahoma"/>
                <w:b/>
                <w:bCs/>
                <w:color w:val="FFFFFF" w:themeColor="background1"/>
                <w:szCs w:val="20"/>
                <w:lang w:eastAsia="en-US"/>
              </w:rPr>
            </w:pPr>
            <w:r>
              <w:rPr>
                <w:rFonts w:cs="Tahoma"/>
                <w:b/>
                <w:bCs/>
                <w:color w:val="FFFFFF" w:themeColor="background1"/>
                <w:szCs w:val="20"/>
                <w:lang w:eastAsia="en-US"/>
              </w:rPr>
              <w:t>MR</w:t>
            </w:r>
          </w:p>
        </w:tc>
      </w:tr>
      <w:tr w:rsidR="002034B7" w:rsidRPr="00232395" w14:paraId="745F757F" w14:textId="77777777" w:rsidTr="00D34903">
        <w:trPr>
          <w:trHeight w:val="482"/>
        </w:trPr>
        <w:tc>
          <w:tcPr>
            <w:tcW w:w="9778" w:type="dxa"/>
            <w:gridSpan w:val="2"/>
            <w:shd w:val="clear" w:color="auto" w:fill="E1F6FF"/>
            <w:vAlign w:val="center"/>
          </w:tcPr>
          <w:p w14:paraId="2004C554" w14:textId="36FF4D8C" w:rsidR="00400A9D" w:rsidRDefault="00863D71" w:rsidP="0035282C">
            <w:r>
              <w:rPr>
                <w:rFonts w:cs="Tahoma"/>
                <w:bCs/>
                <w:szCs w:val="20"/>
                <w:lang w:eastAsia="en-US"/>
              </w:rPr>
              <w:t>The group’s</w:t>
            </w:r>
            <w:r w:rsidR="00543E83">
              <w:rPr>
                <w:rFonts w:cs="Tahoma"/>
                <w:bCs/>
                <w:szCs w:val="20"/>
                <w:lang w:eastAsia="en-US"/>
              </w:rPr>
              <w:t xml:space="preserve"> action log </w:t>
            </w:r>
            <w:r w:rsidR="008F2253">
              <w:t>was updated</w:t>
            </w:r>
            <w:r w:rsidR="008B4E8D">
              <w:t xml:space="preserve"> -</w:t>
            </w:r>
          </w:p>
          <w:tbl>
            <w:tblPr>
              <w:tblW w:w="9392" w:type="dxa"/>
              <w:tblCellMar>
                <w:left w:w="0" w:type="dxa"/>
                <w:right w:w="0" w:type="dxa"/>
              </w:tblCellMar>
              <w:tblLook w:val="0600" w:firstRow="0" w:lastRow="0" w:firstColumn="0" w:lastColumn="0" w:noHBand="1" w:noVBand="1"/>
            </w:tblPr>
            <w:tblGrid>
              <w:gridCol w:w="320"/>
              <w:gridCol w:w="973"/>
              <w:gridCol w:w="4233"/>
              <w:gridCol w:w="619"/>
              <w:gridCol w:w="977"/>
              <w:gridCol w:w="2270"/>
            </w:tblGrid>
            <w:tr w:rsidR="001A48FB" w:rsidRPr="001A48FB" w14:paraId="10BF919E" w14:textId="77777777" w:rsidTr="008A0F4C">
              <w:trPr>
                <w:trHeight w:val="113"/>
              </w:trPr>
              <w:tc>
                <w:tcPr>
                  <w:tcW w:w="320" w:type="dxa"/>
                  <w:tcBorders>
                    <w:top w:val="nil"/>
                    <w:left w:val="nil"/>
                    <w:bottom w:val="nil"/>
                    <w:right w:val="nil"/>
                  </w:tcBorders>
                  <w:shd w:val="clear" w:color="auto" w:fill="00B0F0"/>
                  <w:tcMar>
                    <w:top w:w="72" w:type="dxa"/>
                    <w:left w:w="72" w:type="dxa"/>
                    <w:bottom w:w="72" w:type="dxa"/>
                    <w:right w:w="72" w:type="dxa"/>
                  </w:tcMar>
                  <w:vAlign w:val="center"/>
                  <w:hideMark/>
                </w:tcPr>
                <w:p w14:paraId="607034C6" w14:textId="77777777" w:rsidR="001A48FB" w:rsidRPr="001A48FB" w:rsidRDefault="001A48FB" w:rsidP="001A48FB">
                  <w:pPr>
                    <w:rPr>
                      <w:sz w:val="14"/>
                      <w:szCs w:val="18"/>
                    </w:rPr>
                  </w:pPr>
                  <w:r w:rsidRPr="001A48FB">
                    <w:rPr>
                      <w:b/>
                      <w:bCs/>
                      <w:sz w:val="14"/>
                      <w:szCs w:val="18"/>
                    </w:rPr>
                    <w:t>#</w:t>
                  </w:r>
                </w:p>
              </w:tc>
              <w:tc>
                <w:tcPr>
                  <w:tcW w:w="973" w:type="dxa"/>
                  <w:tcBorders>
                    <w:top w:val="nil"/>
                    <w:left w:val="nil"/>
                    <w:bottom w:val="nil"/>
                    <w:right w:val="nil"/>
                  </w:tcBorders>
                  <w:shd w:val="clear" w:color="auto" w:fill="00B0F0"/>
                  <w:tcMar>
                    <w:top w:w="72" w:type="dxa"/>
                    <w:left w:w="72" w:type="dxa"/>
                    <w:bottom w:w="72" w:type="dxa"/>
                    <w:right w:w="72" w:type="dxa"/>
                  </w:tcMar>
                  <w:vAlign w:val="center"/>
                  <w:hideMark/>
                </w:tcPr>
                <w:p w14:paraId="4BA57A67" w14:textId="77777777" w:rsidR="001A48FB" w:rsidRPr="001A48FB" w:rsidRDefault="001A48FB" w:rsidP="001A48FB">
                  <w:pPr>
                    <w:rPr>
                      <w:sz w:val="14"/>
                      <w:szCs w:val="18"/>
                    </w:rPr>
                  </w:pPr>
                  <w:r w:rsidRPr="001A48FB">
                    <w:rPr>
                      <w:b/>
                      <w:bCs/>
                      <w:sz w:val="14"/>
                      <w:szCs w:val="18"/>
                    </w:rPr>
                    <w:t>Date</w:t>
                  </w:r>
                </w:p>
              </w:tc>
              <w:tc>
                <w:tcPr>
                  <w:tcW w:w="4233" w:type="dxa"/>
                  <w:tcBorders>
                    <w:top w:val="nil"/>
                    <w:left w:val="nil"/>
                    <w:bottom w:val="nil"/>
                    <w:right w:val="nil"/>
                  </w:tcBorders>
                  <w:shd w:val="clear" w:color="auto" w:fill="00B0F0"/>
                  <w:tcMar>
                    <w:top w:w="72" w:type="dxa"/>
                    <w:left w:w="72" w:type="dxa"/>
                    <w:bottom w:w="72" w:type="dxa"/>
                    <w:right w:w="72" w:type="dxa"/>
                  </w:tcMar>
                  <w:vAlign w:val="center"/>
                  <w:hideMark/>
                </w:tcPr>
                <w:p w14:paraId="26559F88" w14:textId="77777777" w:rsidR="001A48FB" w:rsidRPr="001A48FB" w:rsidRDefault="001A48FB" w:rsidP="001A48FB">
                  <w:pPr>
                    <w:rPr>
                      <w:sz w:val="14"/>
                      <w:szCs w:val="18"/>
                    </w:rPr>
                  </w:pPr>
                  <w:r w:rsidRPr="001A48FB">
                    <w:rPr>
                      <w:b/>
                      <w:bCs/>
                      <w:sz w:val="14"/>
                      <w:szCs w:val="18"/>
                    </w:rPr>
                    <w:t>Action</w:t>
                  </w:r>
                </w:p>
              </w:tc>
              <w:tc>
                <w:tcPr>
                  <w:tcW w:w="619" w:type="dxa"/>
                  <w:tcBorders>
                    <w:top w:val="nil"/>
                    <w:left w:val="nil"/>
                    <w:bottom w:val="nil"/>
                    <w:right w:val="nil"/>
                  </w:tcBorders>
                  <w:shd w:val="clear" w:color="auto" w:fill="00B0F0"/>
                  <w:tcMar>
                    <w:top w:w="72" w:type="dxa"/>
                    <w:left w:w="72" w:type="dxa"/>
                    <w:bottom w:w="72" w:type="dxa"/>
                    <w:right w:w="72" w:type="dxa"/>
                  </w:tcMar>
                  <w:vAlign w:val="center"/>
                  <w:hideMark/>
                </w:tcPr>
                <w:p w14:paraId="3DD5DD47" w14:textId="77777777" w:rsidR="001A48FB" w:rsidRPr="001A48FB" w:rsidRDefault="001A48FB" w:rsidP="001A48FB">
                  <w:pPr>
                    <w:rPr>
                      <w:sz w:val="14"/>
                      <w:szCs w:val="18"/>
                    </w:rPr>
                  </w:pPr>
                  <w:r w:rsidRPr="001A48FB">
                    <w:rPr>
                      <w:b/>
                      <w:bCs/>
                      <w:sz w:val="14"/>
                      <w:szCs w:val="18"/>
                    </w:rPr>
                    <w:t>Person</w:t>
                  </w:r>
                </w:p>
              </w:tc>
              <w:tc>
                <w:tcPr>
                  <w:tcW w:w="977" w:type="dxa"/>
                  <w:tcBorders>
                    <w:top w:val="nil"/>
                    <w:left w:val="nil"/>
                    <w:bottom w:val="nil"/>
                    <w:right w:val="nil"/>
                  </w:tcBorders>
                  <w:shd w:val="clear" w:color="auto" w:fill="00B0F0"/>
                  <w:tcMar>
                    <w:top w:w="72" w:type="dxa"/>
                    <w:left w:w="72" w:type="dxa"/>
                    <w:bottom w:w="72" w:type="dxa"/>
                    <w:right w:w="72" w:type="dxa"/>
                  </w:tcMar>
                  <w:vAlign w:val="center"/>
                  <w:hideMark/>
                </w:tcPr>
                <w:p w14:paraId="5096C176" w14:textId="77777777" w:rsidR="001A48FB" w:rsidRPr="001A48FB" w:rsidRDefault="001A48FB" w:rsidP="001A48FB">
                  <w:pPr>
                    <w:rPr>
                      <w:sz w:val="14"/>
                      <w:szCs w:val="18"/>
                    </w:rPr>
                  </w:pPr>
                  <w:r w:rsidRPr="001A48FB">
                    <w:rPr>
                      <w:b/>
                      <w:bCs/>
                      <w:sz w:val="14"/>
                      <w:szCs w:val="18"/>
                    </w:rPr>
                    <w:t>Status</w:t>
                  </w:r>
                </w:p>
              </w:tc>
              <w:tc>
                <w:tcPr>
                  <w:tcW w:w="2270" w:type="dxa"/>
                  <w:tcBorders>
                    <w:top w:val="nil"/>
                    <w:left w:val="nil"/>
                    <w:bottom w:val="nil"/>
                    <w:right w:val="nil"/>
                  </w:tcBorders>
                  <w:shd w:val="clear" w:color="auto" w:fill="00B0F0"/>
                  <w:tcMar>
                    <w:top w:w="72" w:type="dxa"/>
                    <w:left w:w="72" w:type="dxa"/>
                    <w:bottom w:w="72" w:type="dxa"/>
                    <w:right w:w="72" w:type="dxa"/>
                  </w:tcMar>
                  <w:vAlign w:val="center"/>
                  <w:hideMark/>
                </w:tcPr>
                <w:p w14:paraId="4288AF72" w14:textId="77777777" w:rsidR="001A48FB" w:rsidRPr="001A48FB" w:rsidRDefault="001A48FB" w:rsidP="001A48FB">
                  <w:pPr>
                    <w:rPr>
                      <w:sz w:val="14"/>
                      <w:szCs w:val="18"/>
                    </w:rPr>
                  </w:pPr>
                  <w:r w:rsidRPr="001A48FB">
                    <w:rPr>
                      <w:b/>
                      <w:bCs/>
                      <w:sz w:val="14"/>
                      <w:szCs w:val="18"/>
                    </w:rPr>
                    <w:t>Notes</w:t>
                  </w:r>
                </w:p>
              </w:tc>
            </w:tr>
            <w:tr w:rsidR="001A48FB" w:rsidRPr="001A48FB" w14:paraId="77E564F9" w14:textId="77777777" w:rsidTr="008A0F4C">
              <w:trPr>
                <w:trHeight w:val="179"/>
              </w:trPr>
              <w:tc>
                <w:tcPr>
                  <w:tcW w:w="320" w:type="dxa"/>
                  <w:tcBorders>
                    <w:top w:val="nil"/>
                    <w:left w:val="nil"/>
                    <w:bottom w:val="single" w:sz="8" w:space="0" w:color="484D51"/>
                    <w:right w:val="nil"/>
                  </w:tcBorders>
                  <w:shd w:val="clear" w:color="auto" w:fill="D9D9D9"/>
                  <w:tcMar>
                    <w:top w:w="72" w:type="dxa"/>
                    <w:left w:w="72" w:type="dxa"/>
                    <w:bottom w:w="72" w:type="dxa"/>
                    <w:right w:w="72" w:type="dxa"/>
                  </w:tcMar>
                  <w:vAlign w:val="center"/>
                  <w:hideMark/>
                </w:tcPr>
                <w:p w14:paraId="20420EC7" w14:textId="77777777" w:rsidR="001A48FB" w:rsidRPr="001A48FB" w:rsidRDefault="001A48FB" w:rsidP="001A48FB">
                  <w:pPr>
                    <w:rPr>
                      <w:sz w:val="14"/>
                      <w:szCs w:val="18"/>
                    </w:rPr>
                  </w:pPr>
                  <w:r w:rsidRPr="001A48FB">
                    <w:rPr>
                      <w:b/>
                      <w:bCs/>
                      <w:sz w:val="14"/>
                      <w:szCs w:val="18"/>
                    </w:rPr>
                    <w:t>16</w:t>
                  </w:r>
                </w:p>
              </w:tc>
              <w:tc>
                <w:tcPr>
                  <w:tcW w:w="973" w:type="dxa"/>
                  <w:tcBorders>
                    <w:top w:val="nil"/>
                    <w:left w:val="nil"/>
                    <w:bottom w:val="single" w:sz="8" w:space="0" w:color="484D51"/>
                    <w:right w:val="nil"/>
                  </w:tcBorders>
                  <w:shd w:val="clear" w:color="auto" w:fill="F2F2F2"/>
                  <w:tcMar>
                    <w:top w:w="72" w:type="dxa"/>
                    <w:left w:w="72" w:type="dxa"/>
                    <w:bottom w:w="72" w:type="dxa"/>
                    <w:right w:w="72" w:type="dxa"/>
                  </w:tcMar>
                  <w:vAlign w:val="center"/>
                  <w:hideMark/>
                </w:tcPr>
                <w:p w14:paraId="213D9A7F" w14:textId="77777777" w:rsidR="001A48FB" w:rsidRPr="001A48FB" w:rsidRDefault="001A48FB" w:rsidP="001A48FB">
                  <w:pPr>
                    <w:rPr>
                      <w:sz w:val="14"/>
                      <w:szCs w:val="18"/>
                    </w:rPr>
                  </w:pPr>
                  <w:r w:rsidRPr="001A48FB">
                    <w:rPr>
                      <w:sz w:val="14"/>
                      <w:szCs w:val="18"/>
                    </w:rPr>
                    <w:t>31-Jan-23</w:t>
                  </w:r>
                </w:p>
              </w:tc>
              <w:tc>
                <w:tcPr>
                  <w:tcW w:w="4233" w:type="dxa"/>
                  <w:tcBorders>
                    <w:top w:val="nil"/>
                    <w:left w:val="nil"/>
                    <w:bottom w:val="single" w:sz="8" w:space="0" w:color="484D51"/>
                    <w:right w:val="nil"/>
                  </w:tcBorders>
                  <w:shd w:val="clear" w:color="auto" w:fill="F2F2F2"/>
                  <w:tcMar>
                    <w:top w:w="72" w:type="dxa"/>
                    <w:left w:w="72" w:type="dxa"/>
                    <w:bottom w:w="72" w:type="dxa"/>
                    <w:right w:w="72" w:type="dxa"/>
                  </w:tcMar>
                  <w:vAlign w:val="center"/>
                  <w:hideMark/>
                </w:tcPr>
                <w:p w14:paraId="535CC870" w14:textId="77777777" w:rsidR="001A48FB" w:rsidRPr="001A48FB" w:rsidRDefault="001A48FB" w:rsidP="001A48FB">
                  <w:pPr>
                    <w:rPr>
                      <w:sz w:val="14"/>
                      <w:szCs w:val="18"/>
                    </w:rPr>
                  </w:pPr>
                  <w:r w:rsidRPr="001A48FB">
                    <w:rPr>
                      <w:sz w:val="14"/>
                      <w:szCs w:val="18"/>
                      <w:lang w:val="en-US"/>
                    </w:rPr>
                    <w:t>GDNs to review the outcomes of the Biomethane Investor Workshop and form an action plan</w:t>
                  </w:r>
                </w:p>
              </w:tc>
              <w:tc>
                <w:tcPr>
                  <w:tcW w:w="619" w:type="dxa"/>
                  <w:tcBorders>
                    <w:top w:val="nil"/>
                    <w:left w:val="nil"/>
                    <w:bottom w:val="single" w:sz="8" w:space="0" w:color="484D51"/>
                    <w:right w:val="nil"/>
                  </w:tcBorders>
                  <w:shd w:val="clear" w:color="auto" w:fill="F2F2F2"/>
                  <w:tcMar>
                    <w:top w:w="72" w:type="dxa"/>
                    <w:left w:w="72" w:type="dxa"/>
                    <w:bottom w:w="72" w:type="dxa"/>
                    <w:right w:w="72" w:type="dxa"/>
                  </w:tcMar>
                  <w:vAlign w:val="center"/>
                  <w:hideMark/>
                </w:tcPr>
                <w:p w14:paraId="29824369" w14:textId="77777777" w:rsidR="001A48FB" w:rsidRPr="001A48FB" w:rsidRDefault="001A48FB" w:rsidP="001A48FB">
                  <w:pPr>
                    <w:rPr>
                      <w:sz w:val="14"/>
                      <w:szCs w:val="18"/>
                    </w:rPr>
                  </w:pPr>
                  <w:r w:rsidRPr="001A48FB">
                    <w:rPr>
                      <w:sz w:val="14"/>
                      <w:szCs w:val="18"/>
                    </w:rPr>
                    <w:t>GDNs</w:t>
                  </w:r>
                </w:p>
              </w:tc>
              <w:tc>
                <w:tcPr>
                  <w:tcW w:w="977" w:type="dxa"/>
                  <w:tcBorders>
                    <w:top w:val="nil"/>
                    <w:left w:val="nil"/>
                    <w:bottom w:val="single" w:sz="8" w:space="0" w:color="484D51"/>
                    <w:right w:val="nil"/>
                  </w:tcBorders>
                  <w:shd w:val="clear" w:color="auto" w:fill="F2F2F2"/>
                  <w:tcMar>
                    <w:top w:w="72" w:type="dxa"/>
                    <w:left w:w="72" w:type="dxa"/>
                    <w:bottom w:w="72" w:type="dxa"/>
                    <w:right w:w="72" w:type="dxa"/>
                  </w:tcMar>
                  <w:vAlign w:val="center"/>
                  <w:hideMark/>
                </w:tcPr>
                <w:p w14:paraId="0560DB01" w14:textId="77777777" w:rsidR="001A48FB" w:rsidRPr="001A48FB" w:rsidRDefault="001A48FB" w:rsidP="001A48FB">
                  <w:pPr>
                    <w:rPr>
                      <w:sz w:val="14"/>
                      <w:szCs w:val="18"/>
                    </w:rPr>
                  </w:pPr>
                  <w:r w:rsidRPr="001A48FB">
                    <w:rPr>
                      <w:sz w:val="14"/>
                      <w:szCs w:val="18"/>
                    </w:rPr>
                    <w:t>Closed</w:t>
                  </w:r>
                </w:p>
              </w:tc>
              <w:tc>
                <w:tcPr>
                  <w:tcW w:w="2270" w:type="dxa"/>
                  <w:tcBorders>
                    <w:top w:val="nil"/>
                    <w:left w:val="nil"/>
                    <w:bottom w:val="single" w:sz="8" w:space="0" w:color="484D51"/>
                    <w:right w:val="nil"/>
                  </w:tcBorders>
                  <w:shd w:val="clear" w:color="auto" w:fill="F2F2F2"/>
                  <w:tcMar>
                    <w:top w:w="72" w:type="dxa"/>
                    <w:left w:w="72" w:type="dxa"/>
                    <w:bottom w:w="72" w:type="dxa"/>
                    <w:right w:w="72" w:type="dxa"/>
                  </w:tcMar>
                  <w:vAlign w:val="center"/>
                  <w:hideMark/>
                </w:tcPr>
                <w:p w14:paraId="6FBE7041" w14:textId="77777777" w:rsidR="001A48FB" w:rsidRPr="001A48FB" w:rsidRDefault="001A48FB" w:rsidP="001A48FB">
                  <w:pPr>
                    <w:rPr>
                      <w:sz w:val="14"/>
                      <w:szCs w:val="18"/>
                    </w:rPr>
                  </w:pPr>
                </w:p>
              </w:tc>
            </w:tr>
            <w:tr w:rsidR="001A48FB" w:rsidRPr="001A48FB" w14:paraId="086CBC6E" w14:textId="77777777" w:rsidTr="008A0F4C">
              <w:trPr>
                <w:trHeight w:val="579"/>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365F8BEF" w14:textId="77777777" w:rsidR="001A48FB" w:rsidRPr="001A48FB" w:rsidRDefault="001A48FB" w:rsidP="001A48FB">
                  <w:pPr>
                    <w:rPr>
                      <w:sz w:val="14"/>
                      <w:szCs w:val="18"/>
                    </w:rPr>
                  </w:pPr>
                  <w:r w:rsidRPr="001A48FB">
                    <w:rPr>
                      <w:b/>
                      <w:bCs/>
                      <w:sz w:val="14"/>
                      <w:szCs w:val="18"/>
                    </w:rPr>
                    <w:t>20</w:t>
                  </w:r>
                </w:p>
              </w:tc>
              <w:tc>
                <w:tcPr>
                  <w:tcW w:w="97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0A8823D3" w14:textId="77777777" w:rsidR="001A48FB" w:rsidRPr="001A48FB" w:rsidRDefault="001A48FB" w:rsidP="001A48FB">
                  <w:pPr>
                    <w:rPr>
                      <w:sz w:val="14"/>
                      <w:szCs w:val="18"/>
                    </w:rPr>
                  </w:pPr>
                  <w:r w:rsidRPr="001A48FB">
                    <w:rPr>
                      <w:sz w:val="14"/>
                      <w:szCs w:val="18"/>
                    </w:rPr>
                    <w:t>28-Mar-23</w:t>
                  </w:r>
                </w:p>
              </w:tc>
              <w:tc>
                <w:tcPr>
                  <w:tcW w:w="423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23D2FA85" w14:textId="77777777" w:rsidR="001A48FB" w:rsidRPr="001A48FB" w:rsidRDefault="001A48FB" w:rsidP="001A48FB">
                  <w:pPr>
                    <w:rPr>
                      <w:sz w:val="14"/>
                      <w:szCs w:val="18"/>
                    </w:rPr>
                  </w:pPr>
                  <w:r w:rsidRPr="001A48FB">
                    <w:rPr>
                      <w:sz w:val="14"/>
                      <w:szCs w:val="18"/>
                      <w:lang w:val="en-US"/>
                    </w:rPr>
                    <w:t>MR to table a session for the GDNs to look at DN's capacity study template in more detail, assess what should be added/removed, and whether to adopt this consistent methodology</w:t>
                  </w:r>
                </w:p>
              </w:tc>
              <w:tc>
                <w:tcPr>
                  <w:tcW w:w="619"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6FE181E0" w14:textId="77777777" w:rsidR="001A48FB" w:rsidRPr="001A48FB" w:rsidRDefault="001A48FB" w:rsidP="001A48FB">
                  <w:pPr>
                    <w:rPr>
                      <w:sz w:val="14"/>
                      <w:szCs w:val="18"/>
                    </w:rPr>
                  </w:pPr>
                  <w:r w:rsidRPr="001A48FB">
                    <w:rPr>
                      <w:sz w:val="14"/>
                      <w:szCs w:val="18"/>
                    </w:rPr>
                    <w:t>MR</w:t>
                  </w:r>
                </w:p>
              </w:tc>
              <w:tc>
                <w:tcPr>
                  <w:tcW w:w="977"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39406C1B" w14:textId="77777777" w:rsidR="001A48FB" w:rsidRPr="001A48FB" w:rsidRDefault="001A48FB" w:rsidP="001A48FB">
                  <w:pPr>
                    <w:rPr>
                      <w:sz w:val="14"/>
                      <w:szCs w:val="18"/>
                    </w:rPr>
                  </w:pPr>
                  <w:r w:rsidRPr="001A48FB">
                    <w:rPr>
                      <w:sz w:val="14"/>
                      <w:szCs w:val="18"/>
                      <w:lang w:val="en-US"/>
                    </w:rPr>
                    <w:t>I</w:t>
                  </w:r>
                  <w:r w:rsidRPr="001A48FB">
                    <w:rPr>
                      <w:sz w:val="14"/>
                      <w:szCs w:val="18"/>
                    </w:rPr>
                    <w:t>n progress</w:t>
                  </w:r>
                </w:p>
              </w:tc>
              <w:tc>
                <w:tcPr>
                  <w:tcW w:w="2270"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778019DA" w14:textId="77777777" w:rsidR="001A48FB" w:rsidRPr="001A48FB" w:rsidRDefault="001A48FB" w:rsidP="001A48FB">
                  <w:pPr>
                    <w:rPr>
                      <w:sz w:val="14"/>
                      <w:szCs w:val="18"/>
                    </w:rPr>
                  </w:pPr>
                  <w:r w:rsidRPr="001A48FB">
                    <w:rPr>
                      <w:sz w:val="14"/>
                      <w:szCs w:val="18"/>
                      <w:lang w:val="en-US"/>
                    </w:rPr>
                    <w:t>Session in calendar July 31st.</w:t>
                  </w:r>
                </w:p>
              </w:tc>
            </w:tr>
            <w:tr w:rsidR="001A48FB" w:rsidRPr="001A48FB" w14:paraId="142A3F94" w14:textId="77777777" w:rsidTr="008A0F4C">
              <w:trPr>
                <w:trHeight w:val="691"/>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4E8581BB" w14:textId="77777777" w:rsidR="001A48FB" w:rsidRPr="001A48FB" w:rsidRDefault="001A48FB" w:rsidP="001A48FB">
                  <w:pPr>
                    <w:rPr>
                      <w:sz w:val="14"/>
                      <w:szCs w:val="18"/>
                    </w:rPr>
                  </w:pPr>
                  <w:r w:rsidRPr="001A48FB">
                    <w:rPr>
                      <w:b/>
                      <w:bCs/>
                      <w:sz w:val="14"/>
                      <w:szCs w:val="18"/>
                    </w:rPr>
                    <w:t>23</w:t>
                  </w:r>
                </w:p>
              </w:tc>
              <w:tc>
                <w:tcPr>
                  <w:tcW w:w="97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72CEBE7E" w14:textId="77777777" w:rsidR="001A48FB" w:rsidRPr="001A48FB" w:rsidRDefault="001A48FB" w:rsidP="001A48FB">
                  <w:pPr>
                    <w:rPr>
                      <w:sz w:val="14"/>
                      <w:szCs w:val="18"/>
                    </w:rPr>
                  </w:pPr>
                  <w:r w:rsidRPr="001A48FB">
                    <w:rPr>
                      <w:sz w:val="14"/>
                      <w:szCs w:val="18"/>
                    </w:rPr>
                    <w:t>28-Mar-23</w:t>
                  </w:r>
                </w:p>
              </w:tc>
              <w:tc>
                <w:tcPr>
                  <w:tcW w:w="423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006EE6A2" w14:textId="77777777" w:rsidR="001A48FB" w:rsidRPr="001A48FB" w:rsidRDefault="001A48FB" w:rsidP="001A48FB">
                  <w:pPr>
                    <w:rPr>
                      <w:sz w:val="14"/>
                      <w:szCs w:val="18"/>
                    </w:rPr>
                  </w:pPr>
                  <w:r w:rsidRPr="001A48FB">
                    <w:rPr>
                      <w:sz w:val="14"/>
                      <w:szCs w:val="18"/>
                      <w:lang w:val="en-US"/>
                    </w:rPr>
                    <w:t>RB to test his CV Blips solution with NGN site data has been tested; MR to set up a session with GDNs and RB to review, and if/how the GDNs intend to implement it, to report back to the EnCF.</w:t>
                  </w:r>
                </w:p>
              </w:tc>
              <w:tc>
                <w:tcPr>
                  <w:tcW w:w="619"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399275E5" w14:textId="77777777" w:rsidR="001A48FB" w:rsidRPr="001A48FB" w:rsidRDefault="001A48FB" w:rsidP="001A48FB">
                  <w:pPr>
                    <w:rPr>
                      <w:sz w:val="14"/>
                      <w:szCs w:val="18"/>
                    </w:rPr>
                  </w:pPr>
                  <w:r w:rsidRPr="001A48FB">
                    <w:rPr>
                      <w:sz w:val="14"/>
                      <w:szCs w:val="18"/>
                    </w:rPr>
                    <w:t>RB / MR</w:t>
                  </w:r>
                </w:p>
              </w:tc>
              <w:tc>
                <w:tcPr>
                  <w:tcW w:w="977"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42C1B001" w14:textId="77777777" w:rsidR="001A48FB" w:rsidRPr="001A48FB" w:rsidRDefault="001A48FB" w:rsidP="001A48FB">
                  <w:pPr>
                    <w:rPr>
                      <w:sz w:val="14"/>
                      <w:szCs w:val="18"/>
                    </w:rPr>
                  </w:pPr>
                  <w:r w:rsidRPr="001A48FB">
                    <w:rPr>
                      <w:sz w:val="14"/>
                      <w:szCs w:val="18"/>
                    </w:rPr>
                    <w:t>In progress</w:t>
                  </w:r>
                </w:p>
              </w:tc>
              <w:tc>
                <w:tcPr>
                  <w:tcW w:w="2270"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1B89E531" w14:textId="77777777" w:rsidR="001A48FB" w:rsidRPr="001A48FB" w:rsidRDefault="001A48FB" w:rsidP="001A48FB">
                  <w:pPr>
                    <w:rPr>
                      <w:sz w:val="14"/>
                      <w:szCs w:val="18"/>
                    </w:rPr>
                  </w:pPr>
                  <w:r w:rsidRPr="001A48FB">
                    <w:rPr>
                      <w:sz w:val="14"/>
                      <w:szCs w:val="18"/>
                      <w:lang w:val="en-US"/>
                    </w:rPr>
                    <w:t>Session with GDNs/RB took place July 24th; GDN decision pending on whether to adopt this solution.</w:t>
                  </w:r>
                </w:p>
              </w:tc>
            </w:tr>
            <w:tr w:rsidR="001A48FB" w:rsidRPr="001A48FB" w14:paraId="7332C0EB" w14:textId="77777777" w:rsidTr="008A0F4C">
              <w:trPr>
                <w:trHeight w:val="351"/>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33D5BBC7" w14:textId="77777777" w:rsidR="001A48FB" w:rsidRPr="001A48FB" w:rsidRDefault="001A48FB" w:rsidP="001A48FB">
                  <w:pPr>
                    <w:rPr>
                      <w:sz w:val="14"/>
                      <w:szCs w:val="18"/>
                    </w:rPr>
                  </w:pPr>
                  <w:r w:rsidRPr="001A48FB">
                    <w:rPr>
                      <w:b/>
                      <w:bCs/>
                      <w:sz w:val="14"/>
                      <w:szCs w:val="18"/>
                    </w:rPr>
                    <w:t>27</w:t>
                  </w:r>
                </w:p>
              </w:tc>
              <w:tc>
                <w:tcPr>
                  <w:tcW w:w="97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29917ED0" w14:textId="77777777" w:rsidR="001A48FB" w:rsidRPr="001A48FB" w:rsidRDefault="001A48FB" w:rsidP="001A48FB">
                  <w:pPr>
                    <w:rPr>
                      <w:sz w:val="14"/>
                      <w:szCs w:val="18"/>
                    </w:rPr>
                  </w:pPr>
                  <w:r w:rsidRPr="001A48FB">
                    <w:rPr>
                      <w:sz w:val="14"/>
                      <w:szCs w:val="18"/>
                    </w:rPr>
                    <w:t>28-Mar-23</w:t>
                  </w:r>
                </w:p>
              </w:tc>
              <w:tc>
                <w:tcPr>
                  <w:tcW w:w="423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4DBAA9E8" w14:textId="77777777" w:rsidR="001A48FB" w:rsidRPr="001A48FB" w:rsidRDefault="001A48FB" w:rsidP="001A48FB">
                  <w:pPr>
                    <w:rPr>
                      <w:sz w:val="14"/>
                      <w:szCs w:val="18"/>
                    </w:rPr>
                  </w:pPr>
                  <w:r w:rsidRPr="001A48FB">
                    <w:rPr>
                      <w:sz w:val="14"/>
                      <w:szCs w:val="18"/>
                      <w:lang w:val="en-US"/>
                    </w:rPr>
                    <w:t>GDNs to investigate the level of difficulty associated with adapting systems for the lowering of the Wobbe Number limit</w:t>
                  </w:r>
                </w:p>
              </w:tc>
              <w:tc>
                <w:tcPr>
                  <w:tcW w:w="619"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0D1519E7" w14:textId="77777777" w:rsidR="001A48FB" w:rsidRPr="001A48FB" w:rsidRDefault="001A48FB" w:rsidP="001A48FB">
                  <w:pPr>
                    <w:rPr>
                      <w:sz w:val="14"/>
                      <w:szCs w:val="18"/>
                    </w:rPr>
                  </w:pPr>
                  <w:r w:rsidRPr="001A48FB">
                    <w:rPr>
                      <w:sz w:val="14"/>
                      <w:szCs w:val="18"/>
                    </w:rPr>
                    <w:t>GDNs</w:t>
                  </w:r>
                </w:p>
              </w:tc>
              <w:tc>
                <w:tcPr>
                  <w:tcW w:w="977"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7D8F669D" w14:textId="77777777" w:rsidR="001A48FB" w:rsidRPr="001A48FB" w:rsidRDefault="001A48FB" w:rsidP="001A48FB">
                  <w:pPr>
                    <w:rPr>
                      <w:sz w:val="14"/>
                      <w:szCs w:val="18"/>
                    </w:rPr>
                  </w:pPr>
                  <w:r w:rsidRPr="001A48FB">
                    <w:rPr>
                      <w:b/>
                      <w:bCs/>
                      <w:sz w:val="14"/>
                      <w:szCs w:val="18"/>
                    </w:rPr>
                    <w:t>Ongoing</w:t>
                  </w:r>
                </w:p>
              </w:tc>
              <w:tc>
                <w:tcPr>
                  <w:tcW w:w="2270"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0160A1FB" w14:textId="77777777" w:rsidR="001A48FB" w:rsidRPr="001A48FB" w:rsidRDefault="001A48FB" w:rsidP="001A48FB">
                  <w:pPr>
                    <w:rPr>
                      <w:sz w:val="14"/>
                      <w:szCs w:val="18"/>
                    </w:rPr>
                  </w:pPr>
                  <w:r w:rsidRPr="001A48FB">
                    <w:rPr>
                      <w:sz w:val="14"/>
                      <w:szCs w:val="18"/>
                      <w:lang w:val="en-US"/>
                    </w:rPr>
                    <w:t>Session date TBC.</w:t>
                  </w:r>
                </w:p>
              </w:tc>
            </w:tr>
            <w:tr w:rsidR="001A48FB" w:rsidRPr="001A48FB" w14:paraId="1BD1552D" w14:textId="77777777" w:rsidTr="008A0F4C">
              <w:trPr>
                <w:trHeight w:val="475"/>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7D1FF40D" w14:textId="77777777" w:rsidR="001A48FB" w:rsidRPr="001A48FB" w:rsidRDefault="001A48FB" w:rsidP="001A48FB">
                  <w:pPr>
                    <w:rPr>
                      <w:sz w:val="14"/>
                      <w:szCs w:val="18"/>
                    </w:rPr>
                  </w:pPr>
                  <w:r w:rsidRPr="001A48FB">
                    <w:rPr>
                      <w:b/>
                      <w:bCs/>
                      <w:sz w:val="14"/>
                      <w:szCs w:val="18"/>
                    </w:rPr>
                    <w:t>31</w:t>
                  </w:r>
                </w:p>
              </w:tc>
              <w:tc>
                <w:tcPr>
                  <w:tcW w:w="97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4DE285B1" w14:textId="77777777" w:rsidR="001A48FB" w:rsidRPr="001A48FB" w:rsidRDefault="001A48FB" w:rsidP="001A48FB">
                  <w:pPr>
                    <w:rPr>
                      <w:sz w:val="14"/>
                      <w:szCs w:val="18"/>
                    </w:rPr>
                  </w:pPr>
                  <w:r w:rsidRPr="001A48FB">
                    <w:rPr>
                      <w:sz w:val="14"/>
                      <w:szCs w:val="18"/>
                    </w:rPr>
                    <w:t>30-May-23</w:t>
                  </w:r>
                </w:p>
              </w:tc>
              <w:tc>
                <w:tcPr>
                  <w:tcW w:w="423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062FB198" w14:textId="77777777" w:rsidR="001A48FB" w:rsidRPr="001A48FB" w:rsidRDefault="001A48FB" w:rsidP="001A48FB">
                  <w:pPr>
                    <w:rPr>
                      <w:sz w:val="14"/>
                      <w:szCs w:val="18"/>
                    </w:rPr>
                  </w:pPr>
                  <w:r w:rsidRPr="001A48FB">
                    <w:rPr>
                      <w:sz w:val="14"/>
                      <w:szCs w:val="18"/>
                      <w:lang w:val="en-US"/>
                    </w:rPr>
                    <w:t>JB to circulate notes and photographs from GTRF compressor site visit; all open to express interest in a further visit to a compressor site in Denmark.</w:t>
                  </w:r>
                </w:p>
              </w:tc>
              <w:tc>
                <w:tcPr>
                  <w:tcW w:w="619"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6EBCC2F9" w14:textId="77777777" w:rsidR="001A48FB" w:rsidRPr="001A48FB" w:rsidRDefault="001A48FB" w:rsidP="001A48FB">
                  <w:pPr>
                    <w:rPr>
                      <w:sz w:val="14"/>
                      <w:szCs w:val="18"/>
                    </w:rPr>
                  </w:pPr>
                  <w:r w:rsidRPr="001A48FB">
                    <w:rPr>
                      <w:sz w:val="14"/>
                      <w:szCs w:val="18"/>
                    </w:rPr>
                    <w:t>JB</w:t>
                  </w:r>
                </w:p>
              </w:tc>
              <w:tc>
                <w:tcPr>
                  <w:tcW w:w="977"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5A90B17B" w14:textId="77777777" w:rsidR="001A48FB" w:rsidRPr="001A48FB" w:rsidRDefault="001A48FB" w:rsidP="001A48FB">
                  <w:pPr>
                    <w:rPr>
                      <w:sz w:val="14"/>
                      <w:szCs w:val="18"/>
                    </w:rPr>
                  </w:pPr>
                  <w:r w:rsidRPr="001A48FB">
                    <w:rPr>
                      <w:sz w:val="14"/>
                      <w:szCs w:val="18"/>
                    </w:rPr>
                    <w:t>Closed</w:t>
                  </w:r>
                </w:p>
              </w:tc>
              <w:tc>
                <w:tcPr>
                  <w:tcW w:w="2270"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7BF5B297" w14:textId="77777777" w:rsidR="001A48FB" w:rsidRPr="001A48FB" w:rsidRDefault="001A48FB" w:rsidP="001A48FB">
                  <w:pPr>
                    <w:rPr>
                      <w:sz w:val="14"/>
                      <w:szCs w:val="18"/>
                    </w:rPr>
                  </w:pPr>
                </w:p>
              </w:tc>
            </w:tr>
            <w:tr w:rsidR="001A48FB" w:rsidRPr="001A48FB" w14:paraId="3232A791" w14:textId="77777777" w:rsidTr="008A0F4C">
              <w:trPr>
                <w:trHeight w:val="586"/>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48BD5ED0" w14:textId="77777777" w:rsidR="001A48FB" w:rsidRPr="001A48FB" w:rsidRDefault="001A48FB" w:rsidP="001A48FB">
                  <w:pPr>
                    <w:rPr>
                      <w:sz w:val="14"/>
                      <w:szCs w:val="18"/>
                    </w:rPr>
                  </w:pPr>
                  <w:r w:rsidRPr="001A48FB">
                    <w:rPr>
                      <w:b/>
                      <w:bCs/>
                      <w:sz w:val="14"/>
                      <w:szCs w:val="18"/>
                    </w:rPr>
                    <w:t>32</w:t>
                  </w:r>
                </w:p>
              </w:tc>
              <w:tc>
                <w:tcPr>
                  <w:tcW w:w="97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23EB25A2" w14:textId="77777777" w:rsidR="001A48FB" w:rsidRPr="001A48FB" w:rsidRDefault="001A48FB" w:rsidP="001A48FB">
                  <w:pPr>
                    <w:rPr>
                      <w:sz w:val="14"/>
                      <w:szCs w:val="18"/>
                    </w:rPr>
                  </w:pPr>
                  <w:r w:rsidRPr="001A48FB">
                    <w:rPr>
                      <w:sz w:val="14"/>
                      <w:szCs w:val="18"/>
                    </w:rPr>
                    <w:t>30-May-23</w:t>
                  </w:r>
                </w:p>
              </w:tc>
              <w:tc>
                <w:tcPr>
                  <w:tcW w:w="423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0F0F8A0D" w14:textId="77777777" w:rsidR="001A48FB" w:rsidRPr="001A48FB" w:rsidRDefault="001A48FB" w:rsidP="001A48FB">
                  <w:pPr>
                    <w:rPr>
                      <w:sz w:val="14"/>
                      <w:szCs w:val="18"/>
                    </w:rPr>
                  </w:pPr>
                  <w:r w:rsidRPr="001A48FB">
                    <w:rPr>
                      <w:sz w:val="14"/>
                      <w:szCs w:val="18"/>
                      <w:lang w:val="en-US"/>
                    </w:rPr>
                    <w:t>JL to share Cadent's tool for outlining in-grid compression scope to the GDNs. Ruth Burden to set up a session going through the tool.</w:t>
                  </w:r>
                </w:p>
              </w:tc>
              <w:tc>
                <w:tcPr>
                  <w:tcW w:w="619"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622FD229" w14:textId="77777777" w:rsidR="001A48FB" w:rsidRPr="001A48FB" w:rsidRDefault="001A48FB" w:rsidP="001A48FB">
                  <w:pPr>
                    <w:rPr>
                      <w:sz w:val="14"/>
                      <w:szCs w:val="18"/>
                    </w:rPr>
                  </w:pPr>
                  <w:r w:rsidRPr="001A48FB">
                    <w:rPr>
                      <w:sz w:val="14"/>
                      <w:szCs w:val="18"/>
                    </w:rPr>
                    <w:t>JL, RB</w:t>
                  </w:r>
                </w:p>
              </w:tc>
              <w:tc>
                <w:tcPr>
                  <w:tcW w:w="977"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5F9E6CFF" w14:textId="77777777" w:rsidR="001A48FB" w:rsidRPr="001A48FB" w:rsidRDefault="001A48FB" w:rsidP="001A48FB">
                  <w:pPr>
                    <w:rPr>
                      <w:sz w:val="14"/>
                      <w:szCs w:val="18"/>
                    </w:rPr>
                  </w:pPr>
                  <w:r w:rsidRPr="001A48FB">
                    <w:rPr>
                      <w:b/>
                      <w:bCs/>
                      <w:sz w:val="14"/>
                      <w:szCs w:val="18"/>
                    </w:rPr>
                    <w:t>Ongoing</w:t>
                  </w:r>
                </w:p>
              </w:tc>
              <w:tc>
                <w:tcPr>
                  <w:tcW w:w="2270"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5BC86760" w14:textId="4E20B9E5" w:rsidR="001A48FB" w:rsidRPr="001A48FB" w:rsidRDefault="001A48FB" w:rsidP="001A48FB">
                  <w:pPr>
                    <w:rPr>
                      <w:sz w:val="14"/>
                      <w:szCs w:val="18"/>
                    </w:rPr>
                  </w:pPr>
                  <w:r w:rsidRPr="001A48FB">
                    <w:rPr>
                      <w:sz w:val="14"/>
                      <w:szCs w:val="18"/>
                      <w:lang w:val="en-US"/>
                    </w:rPr>
                    <w:t>R</w:t>
                  </w:r>
                  <w:r w:rsidR="008A0F4C" w:rsidRPr="008A0F4C">
                    <w:rPr>
                      <w:sz w:val="14"/>
                      <w:szCs w:val="18"/>
                      <w:lang w:val="en-US"/>
                    </w:rPr>
                    <w:t>uth</w:t>
                  </w:r>
                  <w:r w:rsidRPr="001A48FB">
                    <w:rPr>
                      <w:sz w:val="14"/>
                      <w:szCs w:val="18"/>
                      <w:lang w:val="en-US"/>
                    </w:rPr>
                    <w:t xml:space="preserve"> has emailed round with potential dates; expect that the workshop will take place in next month or so.</w:t>
                  </w:r>
                </w:p>
              </w:tc>
            </w:tr>
            <w:tr w:rsidR="001A48FB" w:rsidRPr="001A48FB" w14:paraId="34D2AF0E" w14:textId="77777777" w:rsidTr="008A0F4C">
              <w:trPr>
                <w:trHeight w:val="389"/>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5C532969" w14:textId="77777777" w:rsidR="001A48FB" w:rsidRPr="001A48FB" w:rsidRDefault="001A48FB" w:rsidP="001A48FB">
                  <w:pPr>
                    <w:rPr>
                      <w:sz w:val="14"/>
                      <w:szCs w:val="18"/>
                    </w:rPr>
                  </w:pPr>
                  <w:r w:rsidRPr="001A48FB">
                    <w:rPr>
                      <w:b/>
                      <w:bCs/>
                      <w:sz w:val="14"/>
                      <w:szCs w:val="18"/>
                    </w:rPr>
                    <w:t>33</w:t>
                  </w:r>
                </w:p>
              </w:tc>
              <w:tc>
                <w:tcPr>
                  <w:tcW w:w="97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7D6882C6" w14:textId="77777777" w:rsidR="001A48FB" w:rsidRPr="001A48FB" w:rsidRDefault="001A48FB" w:rsidP="001A48FB">
                  <w:pPr>
                    <w:rPr>
                      <w:sz w:val="14"/>
                      <w:szCs w:val="18"/>
                    </w:rPr>
                  </w:pPr>
                  <w:r w:rsidRPr="001A48FB">
                    <w:rPr>
                      <w:sz w:val="14"/>
                      <w:szCs w:val="18"/>
                    </w:rPr>
                    <w:t>30-May-23</w:t>
                  </w:r>
                </w:p>
              </w:tc>
              <w:tc>
                <w:tcPr>
                  <w:tcW w:w="423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2D6DD9C5" w14:textId="77777777" w:rsidR="001A48FB" w:rsidRPr="001A48FB" w:rsidRDefault="001A48FB" w:rsidP="001A48FB">
                  <w:pPr>
                    <w:rPr>
                      <w:sz w:val="14"/>
                      <w:szCs w:val="18"/>
                    </w:rPr>
                  </w:pPr>
                  <w:r w:rsidRPr="001A48FB">
                    <w:rPr>
                      <w:sz w:val="14"/>
                      <w:szCs w:val="18"/>
                      <w:lang w:val="en-US"/>
                    </w:rPr>
                    <w:t>JL to share the (NIA) OptiNet Closeout Report with the group once published</w:t>
                  </w:r>
                </w:p>
              </w:tc>
              <w:tc>
                <w:tcPr>
                  <w:tcW w:w="619"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6A482D83" w14:textId="77777777" w:rsidR="001A48FB" w:rsidRPr="001A48FB" w:rsidRDefault="001A48FB" w:rsidP="001A48FB">
                  <w:pPr>
                    <w:rPr>
                      <w:sz w:val="14"/>
                      <w:szCs w:val="18"/>
                    </w:rPr>
                  </w:pPr>
                  <w:r w:rsidRPr="001A48FB">
                    <w:rPr>
                      <w:sz w:val="14"/>
                      <w:szCs w:val="18"/>
                      <w:lang w:val="en-US"/>
                    </w:rPr>
                    <w:t>J</w:t>
                  </w:r>
                  <w:r w:rsidRPr="001A48FB">
                    <w:rPr>
                      <w:sz w:val="14"/>
                      <w:szCs w:val="18"/>
                    </w:rPr>
                    <w:t>L</w:t>
                  </w:r>
                </w:p>
              </w:tc>
              <w:tc>
                <w:tcPr>
                  <w:tcW w:w="977"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6E06D759" w14:textId="77777777" w:rsidR="001A48FB" w:rsidRPr="001A48FB" w:rsidRDefault="001A48FB" w:rsidP="001A48FB">
                  <w:pPr>
                    <w:rPr>
                      <w:sz w:val="14"/>
                      <w:szCs w:val="18"/>
                    </w:rPr>
                  </w:pPr>
                  <w:r w:rsidRPr="001A48FB">
                    <w:rPr>
                      <w:b/>
                      <w:bCs/>
                      <w:sz w:val="14"/>
                      <w:szCs w:val="18"/>
                    </w:rPr>
                    <w:t>Ongoing</w:t>
                  </w:r>
                </w:p>
              </w:tc>
              <w:tc>
                <w:tcPr>
                  <w:tcW w:w="2270"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17806C98" w14:textId="3674088A" w:rsidR="001A48FB" w:rsidRPr="001A48FB" w:rsidRDefault="001A48FB" w:rsidP="001A48FB">
                  <w:pPr>
                    <w:rPr>
                      <w:sz w:val="14"/>
                      <w:szCs w:val="18"/>
                    </w:rPr>
                  </w:pPr>
                  <w:r w:rsidRPr="001A48FB">
                    <w:rPr>
                      <w:sz w:val="14"/>
                      <w:szCs w:val="18"/>
                      <w:lang w:val="en-US"/>
                    </w:rPr>
                    <w:t xml:space="preserve">Target date </w:t>
                  </w:r>
                  <w:r w:rsidR="008A0F4C" w:rsidRPr="008A0F4C">
                    <w:rPr>
                      <w:sz w:val="14"/>
                      <w:szCs w:val="18"/>
                      <w:lang w:val="en-US"/>
                    </w:rPr>
                    <w:t xml:space="preserve">for Closeout Report </w:t>
                  </w:r>
                  <w:r w:rsidRPr="001A48FB">
                    <w:rPr>
                      <w:sz w:val="14"/>
                      <w:szCs w:val="18"/>
                      <w:lang w:val="en-US"/>
                    </w:rPr>
                    <w:t>– November.</w:t>
                  </w:r>
                </w:p>
              </w:tc>
            </w:tr>
            <w:tr w:rsidR="001A48FB" w:rsidRPr="001A48FB" w14:paraId="285B31DA" w14:textId="77777777" w:rsidTr="008A0F4C">
              <w:trPr>
                <w:trHeight w:val="512"/>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11926988" w14:textId="77777777" w:rsidR="001A48FB" w:rsidRPr="001A48FB" w:rsidRDefault="001A48FB" w:rsidP="001A48FB">
                  <w:pPr>
                    <w:rPr>
                      <w:sz w:val="14"/>
                      <w:szCs w:val="18"/>
                    </w:rPr>
                  </w:pPr>
                  <w:r w:rsidRPr="001A48FB">
                    <w:rPr>
                      <w:b/>
                      <w:bCs/>
                      <w:sz w:val="14"/>
                      <w:szCs w:val="18"/>
                    </w:rPr>
                    <w:t>34</w:t>
                  </w:r>
                </w:p>
              </w:tc>
              <w:tc>
                <w:tcPr>
                  <w:tcW w:w="97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38E737C9" w14:textId="77777777" w:rsidR="001A48FB" w:rsidRPr="001A48FB" w:rsidRDefault="001A48FB" w:rsidP="001A48FB">
                  <w:pPr>
                    <w:rPr>
                      <w:sz w:val="14"/>
                      <w:szCs w:val="18"/>
                    </w:rPr>
                  </w:pPr>
                  <w:r w:rsidRPr="001A48FB">
                    <w:rPr>
                      <w:sz w:val="14"/>
                      <w:szCs w:val="18"/>
                    </w:rPr>
                    <w:t>30-May-23</w:t>
                  </w:r>
                </w:p>
              </w:tc>
              <w:tc>
                <w:tcPr>
                  <w:tcW w:w="4233"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1953E866" w14:textId="77777777" w:rsidR="001A48FB" w:rsidRPr="001A48FB" w:rsidRDefault="001A48FB" w:rsidP="001A48FB">
                  <w:pPr>
                    <w:rPr>
                      <w:sz w:val="14"/>
                      <w:szCs w:val="18"/>
                    </w:rPr>
                  </w:pPr>
                  <w:r w:rsidRPr="001A48FB">
                    <w:rPr>
                      <w:sz w:val="14"/>
                      <w:szCs w:val="18"/>
                      <w:lang w:val="en-US"/>
                    </w:rPr>
                    <w:t xml:space="preserve">RB to send IMC a copy of his technical report on propane contamination, and brief IMC to raise the issue at the Gas </w:t>
                  </w:r>
                  <w:proofErr w:type="spellStart"/>
                  <w:r w:rsidRPr="001A48FB">
                    <w:rPr>
                      <w:sz w:val="14"/>
                      <w:szCs w:val="18"/>
                      <w:lang w:val="en-US"/>
                    </w:rPr>
                    <w:t>Utilisation</w:t>
                  </w:r>
                  <w:proofErr w:type="spellEnd"/>
                  <w:r w:rsidRPr="001A48FB">
                    <w:rPr>
                      <w:sz w:val="14"/>
                      <w:szCs w:val="18"/>
                      <w:lang w:val="en-US"/>
                    </w:rPr>
                    <w:t xml:space="preserve"> Committee.</w:t>
                  </w:r>
                </w:p>
              </w:tc>
              <w:tc>
                <w:tcPr>
                  <w:tcW w:w="619"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43074461" w14:textId="77777777" w:rsidR="001A48FB" w:rsidRPr="001A48FB" w:rsidRDefault="001A48FB" w:rsidP="001A48FB">
                  <w:pPr>
                    <w:rPr>
                      <w:sz w:val="14"/>
                      <w:szCs w:val="18"/>
                    </w:rPr>
                  </w:pPr>
                  <w:r w:rsidRPr="001A48FB">
                    <w:rPr>
                      <w:sz w:val="14"/>
                      <w:szCs w:val="18"/>
                    </w:rPr>
                    <w:t>RB / IMC</w:t>
                  </w:r>
                </w:p>
              </w:tc>
              <w:tc>
                <w:tcPr>
                  <w:tcW w:w="977"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08D72757" w14:textId="77777777" w:rsidR="001A48FB" w:rsidRPr="001A48FB" w:rsidRDefault="001A48FB" w:rsidP="001A48FB">
                  <w:pPr>
                    <w:rPr>
                      <w:sz w:val="14"/>
                      <w:szCs w:val="18"/>
                    </w:rPr>
                  </w:pPr>
                  <w:r w:rsidRPr="001A48FB">
                    <w:rPr>
                      <w:b/>
                      <w:bCs/>
                      <w:sz w:val="14"/>
                      <w:szCs w:val="18"/>
                    </w:rPr>
                    <w:t>Ongoing</w:t>
                  </w:r>
                </w:p>
              </w:tc>
              <w:tc>
                <w:tcPr>
                  <w:tcW w:w="2270" w:type="dxa"/>
                  <w:tcBorders>
                    <w:top w:val="single" w:sz="8" w:space="0" w:color="484D51"/>
                    <w:left w:val="nil"/>
                    <w:bottom w:val="single" w:sz="8" w:space="0" w:color="484D51"/>
                    <w:right w:val="nil"/>
                  </w:tcBorders>
                  <w:shd w:val="clear" w:color="auto" w:fill="auto"/>
                  <w:tcMar>
                    <w:top w:w="72" w:type="dxa"/>
                    <w:left w:w="72" w:type="dxa"/>
                    <w:bottom w:w="72" w:type="dxa"/>
                    <w:right w:w="72" w:type="dxa"/>
                  </w:tcMar>
                  <w:vAlign w:val="center"/>
                  <w:hideMark/>
                </w:tcPr>
                <w:p w14:paraId="410CEFE0" w14:textId="77777777" w:rsidR="001A48FB" w:rsidRPr="001A48FB" w:rsidRDefault="001A48FB" w:rsidP="001A48FB">
                  <w:pPr>
                    <w:rPr>
                      <w:sz w:val="14"/>
                      <w:szCs w:val="18"/>
                    </w:rPr>
                  </w:pPr>
                  <w:r w:rsidRPr="001A48FB">
                    <w:rPr>
                      <w:sz w:val="14"/>
                      <w:szCs w:val="18"/>
                      <w:lang w:val="en-US"/>
                    </w:rPr>
                    <w:t>IMC to report back in September meeting.</w:t>
                  </w:r>
                </w:p>
              </w:tc>
            </w:tr>
            <w:tr w:rsidR="001A48FB" w:rsidRPr="001A48FB" w14:paraId="5B04CC9B" w14:textId="77777777" w:rsidTr="008A0F4C">
              <w:trPr>
                <w:trHeight w:val="483"/>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4D944AFE" w14:textId="77777777" w:rsidR="001A48FB" w:rsidRPr="001A48FB" w:rsidRDefault="001A48FB" w:rsidP="001A48FB">
                  <w:pPr>
                    <w:rPr>
                      <w:sz w:val="14"/>
                      <w:szCs w:val="18"/>
                    </w:rPr>
                  </w:pPr>
                  <w:r w:rsidRPr="001A48FB">
                    <w:rPr>
                      <w:b/>
                      <w:bCs/>
                      <w:sz w:val="14"/>
                      <w:szCs w:val="18"/>
                    </w:rPr>
                    <w:t>35</w:t>
                  </w:r>
                </w:p>
              </w:tc>
              <w:tc>
                <w:tcPr>
                  <w:tcW w:w="97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4D0DC119" w14:textId="77777777" w:rsidR="001A48FB" w:rsidRPr="001A48FB" w:rsidRDefault="001A48FB" w:rsidP="001A48FB">
                  <w:pPr>
                    <w:rPr>
                      <w:sz w:val="14"/>
                      <w:szCs w:val="18"/>
                    </w:rPr>
                  </w:pPr>
                  <w:r w:rsidRPr="001A48FB">
                    <w:rPr>
                      <w:sz w:val="14"/>
                      <w:szCs w:val="18"/>
                    </w:rPr>
                    <w:t>30-May-23</w:t>
                  </w:r>
                </w:p>
              </w:tc>
              <w:tc>
                <w:tcPr>
                  <w:tcW w:w="423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23B5B938" w14:textId="77777777" w:rsidR="001A48FB" w:rsidRPr="001A48FB" w:rsidRDefault="001A48FB" w:rsidP="001A48FB">
                  <w:pPr>
                    <w:rPr>
                      <w:sz w:val="14"/>
                      <w:szCs w:val="18"/>
                    </w:rPr>
                  </w:pPr>
                  <w:r w:rsidRPr="001A48FB">
                    <w:rPr>
                      <w:sz w:val="14"/>
                      <w:szCs w:val="18"/>
                      <w:lang w:val="en-US"/>
                    </w:rPr>
                    <w:t>RB to brief TH on his report on propane contamination, for TH to follow up with ADBA</w:t>
                  </w:r>
                </w:p>
              </w:tc>
              <w:tc>
                <w:tcPr>
                  <w:tcW w:w="619"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0D8F6AB8" w14:textId="77777777" w:rsidR="001A48FB" w:rsidRPr="001A48FB" w:rsidRDefault="001A48FB" w:rsidP="001A48FB">
                  <w:pPr>
                    <w:rPr>
                      <w:sz w:val="14"/>
                      <w:szCs w:val="18"/>
                    </w:rPr>
                  </w:pPr>
                  <w:r w:rsidRPr="001A48FB">
                    <w:rPr>
                      <w:sz w:val="14"/>
                      <w:szCs w:val="18"/>
                    </w:rPr>
                    <w:t>RB / TH</w:t>
                  </w:r>
                </w:p>
              </w:tc>
              <w:tc>
                <w:tcPr>
                  <w:tcW w:w="977"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51FDD25C" w14:textId="77777777" w:rsidR="001A48FB" w:rsidRPr="001A48FB" w:rsidRDefault="001A48FB" w:rsidP="001A48FB">
                  <w:pPr>
                    <w:rPr>
                      <w:sz w:val="14"/>
                      <w:szCs w:val="18"/>
                    </w:rPr>
                  </w:pPr>
                  <w:r w:rsidRPr="001A48FB">
                    <w:rPr>
                      <w:sz w:val="14"/>
                      <w:szCs w:val="18"/>
                    </w:rPr>
                    <w:t>Closed</w:t>
                  </w:r>
                </w:p>
              </w:tc>
              <w:tc>
                <w:tcPr>
                  <w:tcW w:w="2270"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117BF222" w14:textId="7AF2E27F" w:rsidR="001A48FB" w:rsidRPr="001A48FB" w:rsidRDefault="001A48FB" w:rsidP="001A48FB">
                  <w:pPr>
                    <w:rPr>
                      <w:sz w:val="14"/>
                      <w:szCs w:val="18"/>
                    </w:rPr>
                  </w:pPr>
                  <w:r w:rsidRPr="001A48FB">
                    <w:rPr>
                      <w:sz w:val="14"/>
                      <w:szCs w:val="18"/>
                      <w:lang w:val="en-US"/>
                    </w:rPr>
                    <w:t xml:space="preserve">MR to circulate RB’s report to the EnCF distribution list; ADBA </w:t>
                  </w:r>
                  <w:r w:rsidR="008A0F4C" w:rsidRPr="008A0F4C">
                    <w:rPr>
                      <w:sz w:val="14"/>
                      <w:szCs w:val="18"/>
                      <w:lang w:val="en-US"/>
                    </w:rPr>
                    <w:t>to</w:t>
                  </w:r>
                  <w:r w:rsidRPr="001A48FB">
                    <w:rPr>
                      <w:sz w:val="14"/>
                      <w:szCs w:val="18"/>
                      <w:lang w:val="en-US"/>
                    </w:rPr>
                    <w:t xml:space="preserve"> pick up from there if appropriate.</w:t>
                  </w:r>
                </w:p>
              </w:tc>
            </w:tr>
            <w:tr w:rsidR="001A48FB" w:rsidRPr="001A48FB" w14:paraId="460CDC7F" w14:textId="77777777" w:rsidTr="008A0F4C">
              <w:trPr>
                <w:trHeight w:val="413"/>
              </w:trPr>
              <w:tc>
                <w:tcPr>
                  <w:tcW w:w="320" w:type="dxa"/>
                  <w:tcBorders>
                    <w:top w:val="single" w:sz="8" w:space="0" w:color="484D51"/>
                    <w:left w:val="nil"/>
                    <w:bottom w:val="single" w:sz="8" w:space="0" w:color="484D51"/>
                    <w:right w:val="nil"/>
                  </w:tcBorders>
                  <w:shd w:val="clear" w:color="auto" w:fill="D9D9D9"/>
                  <w:tcMar>
                    <w:top w:w="72" w:type="dxa"/>
                    <w:left w:w="72" w:type="dxa"/>
                    <w:bottom w:w="72" w:type="dxa"/>
                    <w:right w:w="72" w:type="dxa"/>
                  </w:tcMar>
                  <w:vAlign w:val="center"/>
                  <w:hideMark/>
                </w:tcPr>
                <w:p w14:paraId="622A305F" w14:textId="77777777" w:rsidR="001A48FB" w:rsidRPr="001A48FB" w:rsidRDefault="001A48FB" w:rsidP="001A48FB">
                  <w:pPr>
                    <w:rPr>
                      <w:sz w:val="14"/>
                      <w:szCs w:val="18"/>
                    </w:rPr>
                  </w:pPr>
                  <w:r w:rsidRPr="001A48FB">
                    <w:rPr>
                      <w:b/>
                      <w:bCs/>
                      <w:sz w:val="14"/>
                      <w:szCs w:val="18"/>
                    </w:rPr>
                    <w:t>36</w:t>
                  </w:r>
                </w:p>
              </w:tc>
              <w:tc>
                <w:tcPr>
                  <w:tcW w:w="97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078E9318" w14:textId="77777777" w:rsidR="001A48FB" w:rsidRPr="001A48FB" w:rsidRDefault="001A48FB" w:rsidP="001A48FB">
                  <w:pPr>
                    <w:rPr>
                      <w:sz w:val="14"/>
                      <w:szCs w:val="18"/>
                    </w:rPr>
                  </w:pPr>
                  <w:r w:rsidRPr="001A48FB">
                    <w:rPr>
                      <w:sz w:val="14"/>
                      <w:szCs w:val="18"/>
                    </w:rPr>
                    <w:t>30-May-23</w:t>
                  </w:r>
                </w:p>
              </w:tc>
              <w:tc>
                <w:tcPr>
                  <w:tcW w:w="4233"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03ADA663" w14:textId="77777777" w:rsidR="001A48FB" w:rsidRPr="001A48FB" w:rsidRDefault="001A48FB" w:rsidP="001A48FB">
                  <w:pPr>
                    <w:rPr>
                      <w:sz w:val="14"/>
                      <w:szCs w:val="18"/>
                    </w:rPr>
                  </w:pPr>
                  <w:r w:rsidRPr="001A48FB">
                    <w:rPr>
                      <w:sz w:val="14"/>
                      <w:szCs w:val="18"/>
                      <w:lang w:val="en-US"/>
                    </w:rPr>
                    <w:t>GDNs to consider other actions re: lobbying for better quality commercial propane.</w:t>
                  </w:r>
                </w:p>
              </w:tc>
              <w:tc>
                <w:tcPr>
                  <w:tcW w:w="619"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37D4CCF4" w14:textId="77777777" w:rsidR="001A48FB" w:rsidRPr="001A48FB" w:rsidRDefault="001A48FB" w:rsidP="001A48FB">
                  <w:pPr>
                    <w:rPr>
                      <w:sz w:val="14"/>
                      <w:szCs w:val="18"/>
                    </w:rPr>
                  </w:pPr>
                  <w:r w:rsidRPr="001A48FB">
                    <w:rPr>
                      <w:sz w:val="14"/>
                      <w:szCs w:val="18"/>
                    </w:rPr>
                    <w:t>GDNs</w:t>
                  </w:r>
                </w:p>
              </w:tc>
              <w:tc>
                <w:tcPr>
                  <w:tcW w:w="977"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79C76DD3" w14:textId="77777777" w:rsidR="001A48FB" w:rsidRPr="001A48FB" w:rsidRDefault="001A48FB" w:rsidP="001A48FB">
                  <w:pPr>
                    <w:rPr>
                      <w:sz w:val="14"/>
                      <w:szCs w:val="18"/>
                    </w:rPr>
                  </w:pPr>
                  <w:r w:rsidRPr="001A48FB">
                    <w:rPr>
                      <w:sz w:val="14"/>
                      <w:szCs w:val="18"/>
                    </w:rPr>
                    <w:t>Closed</w:t>
                  </w:r>
                </w:p>
              </w:tc>
              <w:tc>
                <w:tcPr>
                  <w:tcW w:w="2270" w:type="dxa"/>
                  <w:tcBorders>
                    <w:top w:val="single" w:sz="8" w:space="0" w:color="484D51"/>
                    <w:left w:val="nil"/>
                    <w:bottom w:val="single" w:sz="8" w:space="0" w:color="484D51"/>
                    <w:right w:val="nil"/>
                  </w:tcBorders>
                  <w:shd w:val="clear" w:color="auto" w:fill="F2F2F2"/>
                  <w:tcMar>
                    <w:top w:w="72" w:type="dxa"/>
                    <w:left w:w="72" w:type="dxa"/>
                    <w:bottom w:w="72" w:type="dxa"/>
                    <w:right w:w="72" w:type="dxa"/>
                  </w:tcMar>
                  <w:vAlign w:val="center"/>
                  <w:hideMark/>
                </w:tcPr>
                <w:p w14:paraId="72CD38E7" w14:textId="3D0D98CB" w:rsidR="001A48FB" w:rsidRPr="001A48FB" w:rsidRDefault="001A48FB" w:rsidP="001A48FB">
                  <w:pPr>
                    <w:rPr>
                      <w:sz w:val="14"/>
                      <w:szCs w:val="18"/>
                    </w:rPr>
                  </w:pPr>
                  <w:r w:rsidRPr="001A48FB">
                    <w:rPr>
                      <w:sz w:val="14"/>
                      <w:szCs w:val="18"/>
                      <w:lang w:val="en-US"/>
                    </w:rPr>
                    <w:t>Covered by other existing actions</w:t>
                  </w:r>
                  <w:r w:rsidR="008A0F4C">
                    <w:rPr>
                      <w:sz w:val="14"/>
                      <w:szCs w:val="18"/>
                      <w:lang w:val="en-US"/>
                    </w:rPr>
                    <w:t>.</w:t>
                  </w:r>
                </w:p>
              </w:tc>
            </w:tr>
          </w:tbl>
          <w:p w14:paraId="01840B89" w14:textId="77777777" w:rsidR="0047122E" w:rsidRDefault="0047122E" w:rsidP="0035282C">
            <w:pPr>
              <w:rPr>
                <w:rFonts w:cs="Tahoma"/>
                <w:bCs/>
                <w:szCs w:val="20"/>
                <w:lang w:eastAsia="en-US"/>
              </w:rPr>
            </w:pPr>
          </w:p>
          <w:p w14:paraId="114738EC" w14:textId="7693C8C0" w:rsidR="008B4E8D" w:rsidRDefault="008B4E8D" w:rsidP="0035282C">
            <w:pPr>
              <w:rPr>
                <w:rFonts w:cs="Tahoma"/>
                <w:bCs/>
                <w:szCs w:val="20"/>
                <w:lang w:eastAsia="en-US"/>
              </w:rPr>
            </w:pPr>
          </w:p>
        </w:tc>
      </w:tr>
    </w:tbl>
    <w:p w14:paraId="15CE996A" w14:textId="0B0D2270" w:rsidR="00A14DA5" w:rsidRDefault="00A14DA5" w:rsidP="002034B7">
      <w:pPr>
        <w:rPr>
          <w:rStyle w:val="SubtleReference"/>
          <w:smallCaps w:val="0"/>
          <w:color w:val="auto"/>
        </w:rPr>
      </w:pPr>
    </w:p>
    <w:p w14:paraId="11EEE288" w14:textId="77777777" w:rsidR="00A14DA5" w:rsidRDefault="00A14DA5">
      <w:pPr>
        <w:spacing w:before="0" w:after="0"/>
        <w:rPr>
          <w:rStyle w:val="SubtleReference"/>
          <w:smallCaps w:val="0"/>
          <w:color w:val="auto"/>
        </w:rPr>
      </w:pPr>
      <w:r>
        <w:rPr>
          <w:rStyle w:val="SubtleReference"/>
          <w:smallCaps w:val="0"/>
          <w:color w:val="auto"/>
        </w:rPr>
        <w:br w:type="page"/>
      </w:r>
    </w:p>
    <w:tbl>
      <w:tblPr>
        <w:tblW w:w="9778" w:type="dxa"/>
        <w:tblBorders>
          <w:top w:val="single" w:sz="2" w:space="0" w:color="A6ACA9" w:themeColor="background2"/>
          <w:left w:val="single" w:sz="2" w:space="0" w:color="A6ACA9" w:themeColor="background2"/>
          <w:bottom w:val="single" w:sz="2" w:space="0" w:color="A6ACA9" w:themeColor="background2"/>
          <w:right w:val="single" w:sz="2" w:space="0" w:color="A6ACA9" w:themeColor="background2"/>
          <w:insideH w:val="single" w:sz="2" w:space="0" w:color="A6ACA9" w:themeColor="background2"/>
          <w:insideV w:val="single" w:sz="2" w:space="0" w:color="A6ACA9" w:themeColor="background2"/>
        </w:tblBorders>
        <w:tblLook w:val="0420" w:firstRow="1" w:lastRow="0" w:firstColumn="0" w:lastColumn="0" w:noHBand="0" w:noVBand="1"/>
      </w:tblPr>
      <w:tblGrid>
        <w:gridCol w:w="8077"/>
        <w:gridCol w:w="1701"/>
      </w:tblGrid>
      <w:tr w:rsidR="00D34903" w:rsidRPr="00232395" w14:paraId="6741E4DE" w14:textId="77777777" w:rsidTr="009734BB">
        <w:trPr>
          <w:trHeight w:val="482"/>
        </w:trPr>
        <w:tc>
          <w:tcPr>
            <w:tcW w:w="8077" w:type="dxa"/>
            <w:shd w:val="clear" w:color="auto" w:fill="009FE3" w:themeFill="accent4"/>
            <w:vAlign w:val="center"/>
          </w:tcPr>
          <w:p w14:paraId="215DFAF4" w14:textId="3CBFF421" w:rsidR="00D34903" w:rsidRPr="00232395" w:rsidRDefault="003A5D0D" w:rsidP="009734BB">
            <w:pPr>
              <w:rPr>
                <w:rFonts w:cs="Tahoma"/>
                <w:b/>
                <w:bCs/>
                <w:color w:val="FFFFFF" w:themeColor="background1"/>
                <w:szCs w:val="20"/>
                <w:lang w:eastAsia="en-US"/>
              </w:rPr>
            </w:pPr>
            <w:r>
              <w:rPr>
                <w:rFonts w:cs="Tahoma"/>
                <w:b/>
                <w:bCs/>
                <w:color w:val="FFFFFF" w:themeColor="background1"/>
                <w:szCs w:val="20"/>
                <w:lang w:eastAsia="en-US"/>
              </w:rPr>
              <w:lastRenderedPageBreak/>
              <w:t xml:space="preserve">3. </w:t>
            </w:r>
            <w:r w:rsidR="000B7ECA">
              <w:rPr>
                <w:rFonts w:cs="Tahoma"/>
                <w:b/>
                <w:bCs/>
                <w:color w:val="FFFFFF" w:themeColor="background1"/>
                <w:szCs w:val="20"/>
                <w:lang w:eastAsia="en-US"/>
              </w:rPr>
              <w:t>EnCF Action Plan Tracker</w:t>
            </w:r>
          </w:p>
        </w:tc>
        <w:tc>
          <w:tcPr>
            <w:tcW w:w="1701" w:type="dxa"/>
            <w:shd w:val="clear" w:color="auto" w:fill="009FE3" w:themeFill="accent4"/>
            <w:vAlign w:val="center"/>
          </w:tcPr>
          <w:p w14:paraId="2D711BBD" w14:textId="617ABF7D" w:rsidR="00D34903" w:rsidRPr="00232395" w:rsidRDefault="000B7ECA" w:rsidP="009734BB">
            <w:pPr>
              <w:jc w:val="center"/>
              <w:rPr>
                <w:rFonts w:cs="Tahoma"/>
                <w:b/>
                <w:bCs/>
                <w:color w:val="FFFFFF" w:themeColor="background1"/>
                <w:szCs w:val="20"/>
                <w:lang w:eastAsia="en-US"/>
              </w:rPr>
            </w:pPr>
            <w:r>
              <w:rPr>
                <w:rFonts w:cs="Tahoma"/>
                <w:b/>
                <w:bCs/>
                <w:color w:val="FFFFFF" w:themeColor="background1"/>
                <w:szCs w:val="20"/>
                <w:lang w:eastAsia="en-US"/>
              </w:rPr>
              <w:t>JM</w:t>
            </w:r>
          </w:p>
        </w:tc>
      </w:tr>
      <w:tr w:rsidR="00D34903" w:rsidRPr="00232395" w14:paraId="2CBF9965" w14:textId="77777777" w:rsidTr="009734BB">
        <w:trPr>
          <w:trHeight w:val="482"/>
        </w:trPr>
        <w:tc>
          <w:tcPr>
            <w:tcW w:w="9778" w:type="dxa"/>
            <w:gridSpan w:val="2"/>
            <w:shd w:val="clear" w:color="auto" w:fill="E1F6FF"/>
            <w:vAlign w:val="center"/>
          </w:tcPr>
          <w:p w14:paraId="4DE81F13" w14:textId="7B5A1EC8" w:rsidR="00567AC4" w:rsidRDefault="00567AC4" w:rsidP="009734BB">
            <w:pPr>
              <w:rPr>
                <w:rFonts w:cs="Tahoma"/>
                <w:bCs/>
                <w:szCs w:val="20"/>
                <w:lang w:eastAsia="en-US"/>
              </w:rPr>
            </w:pPr>
            <w:r>
              <w:rPr>
                <w:rFonts w:cs="Tahoma"/>
                <w:bCs/>
                <w:szCs w:val="20"/>
                <w:lang w:eastAsia="en-US"/>
              </w:rPr>
              <w:t xml:space="preserve">The group’s Action Plan Tracker was reviewed – </w:t>
            </w:r>
          </w:p>
          <w:p w14:paraId="3087C394" w14:textId="77777777" w:rsidR="00567AC4" w:rsidRPr="00567AC4" w:rsidRDefault="00567AC4" w:rsidP="009734BB">
            <w:pPr>
              <w:rPr>
                <w:rFonts w:cs="Tahoma"/>
                <w:bCs/>
                <w:szCs w:val="20"/>
                <w:lang w:eastAsia="en-US"/>
              </w:rPr>
            </w:pPr>
          </w:p>
          <w:p w14:paraId="3459DCF3" w14:textId="305F2A57" w:rsidR="00D34903" w:rsidRPr="00F740C3" w:rsidRDefault="00EF776A" w:rsidP="009734BB">
            <w:pPr>
              <w:rPr>
                <w:rFonts w:cs="Tahoma"/>
                <w:bCs/>
                <w:i/>
                <w:iCs/>
                <w:szCs w:val="20"/>
                <w:u w:val="single"/>
                <w:lang w:eastAsia="en-US"/>
              </w:rPr>
            </w:pPr>
            <w:r>
              <w:rPr>
                <w:rFonts w:cs="Tahoma"/>
                <w:bCs/>
                <w:i/>
                <w:iCs/>
                <w:szCs w:val="20"/>
                <w:u w:val="single"/>
                <w:lang w:eastAsia="en-US"/>
              </w:rPr>
              <w:t xml:space="preserve">1. </w:t>
            </w:r>
            <w:r w:rsidR="00E017EE" w:rsidRPr="00F740C3">
              <w:rPr>
                <w:rFonts w:cs="Tahoma"/>
                <w:bCs/>
                <w:i/>
                <w:iCs/>
                <w:szCs w:val="20"/>
                <w:u w:val="single"/>
                <w:lang w:eastAsia="en-US"/>
              </w:rPr>
              <w:t>CV Blips (RB)</w:t>
            </w:r>
          </w:p>
          <w:p w14:paraId="6752E798" w14:textId="085F0BE8" w:rsidR="005A2B42" w:rsidRDefault="00E47F60" w:rsidP="009734BB">
            <w:pPr>
              <w:rPr>
                <w:rFonts w:cs="Tahoma"/>
                <w:bCs/>
                <w:szCs w:val="20"/>
                <w:lang w:eastAsia="en-US"/>
              </w:rPr>
            </w:pPr>
            <w:r>
              <w:rPr>
                <w:rFonts w:cs="Tahoma"/>
                <w:bCs/>
                <w:szCs w:val="20"/>
                <w:lang w:eastAsia="en-US"/>
              </w:rPr>
              <w:t>RB recapped the discussion from 24/07/2023</w:t>
            </w:r>
            <w:r w:rsidR="00A2757B">
              <w:rPr>
                <w:rFonts w:cs="Tahoma"/>
                <w:bCs/>
                <w:szCs w:val="20"/>
                <w:lang w:eastAsia="en-US"/>
              </w:rPr>
              <w:t>; RB had previously</w:t>
            </w:r>
            <w:r>
              <w:rPr>
                <w:rFonts w:cs="Tahoma"/>
                <w:bCs/>
                <w:szCs w:val="20"/>
                <w:lang w:eastAsia="en-US"/>
              </w:rPr>
              <w:t xml:space="preserve"> issued a slide pack with some </w:t>
            </w:r>
            <w:r w:rsidR="00A2757B">
              <w:rPr>
                <w:rFonts w:cs="Tahoma"/>
                <w:bCs/>
                <w:szCs w:val="20"/>
                <w:lang w:eastAsia="en-US"/>
              </w:rPr>
              <w:t xml:space="preserve">fictitious </w:t>
            </w:r>
            <w:r>
              <w:rPr>
                <w:rFonts w:cs="Tahoma"/>
                <w:bCs/>
                <w:szCs w:val="20"/>
                <w:lang w:eastAsia="en-US"/>
              </w:rPr>
              <w:t>data, showing what would happen if the software was installed with various tolerances</w:t>
            </w:r>
            <w:r w:rsidR="00740F1B">
              <w:rPr>
                <w:rFonts w:cs="Tahoma"/>
                <w:bCs/>
                <w:szCs w:val="20"/>
                <w:lang w:eastAsia="en-US"/>
              </w:rPr>
              <w:t xml:space="preserve">, </w:t>
            </w:r>
            <w:r w:rsidR="00BB329B">
              <w:rPr>
                <w:rFonts w:cs="Tahoma"/>
                <w:bCs/>
                <w:szCs w:val="20"/>
                <w:lang w:eastAsia="en-US"/>
              </w:rPr>
              <w:t>and what size/combination</w:t>
            </w:r>
            <w:r w:rsidR="00740F1B">
              <w:rPr>
                <w:rFonts w:cs="Tahoma"/>
                <w:bCs/>
                <w:szCs w:val="20"/>
                <w:lang w:eastAsia="en-US"/>
              </w:rPr>
              <w:t xml:space="preserve"> of blips would </w:t>
            </w:r>
            <w:r w:rsidR="00BB329B">
              <w:rPr>
                <w:rFonts w:cs="Tahoma"/>
                <w:bCs/>
                <w:szCs w:val="20"/>
                <w:lang w:eastAsia="en-US"/>
              </w:rPr>
              <w:t>cause</w:t>
            </w:r>
            <w:r w:rsidR="00740F1B">
              <w:rPr>
                <w:rFonts w:cs="Tahoma"/>
                <w:bCs/>
                <w:szCs w:val="20"/>
                <w:lang w:eastAsia="en-US"/>
              </w:rPr>
              <w:t xml:space="preserve"> excursions</w:t>
            </w:r>
            <w:r w:rsidR="00BB329B">
              <w:rPr>
                <w:rFonts w:cs="Tahoma"/>
                <w:bCs/>
                <w:szCs w:val="20"/>
                <w:lang w:eastAsia="en-US"/>
              </w:rPr>
              <w:t xml:space="preserve"> or be permitted</w:t>
            </w:r>
            <w:r w:rsidR="00740F1B">
              <w:rPr>
                <w:rFonts w:cs="Tahoma"/>
                <w:bCs/>
                <w:szCs w:val="20"/>
                <w:lang w:eastAsia="en-US"/>
              </w:rPr>
              <w:t xml:space="preserve">. </w:t>
            </w:r>
            <w:r w:rsidR="005A2B42">
              <w:rPr>
                <w:rFonts w:cs="Tahoma"/>
                <w:bCs/>
                <w:szCs w:val="20"/>
                <w:lang w:eastAsia="en-US"/>
              </w:rPr>
              <w:t>The call served as a follow-up/Q&amp;A</w:t>
            </w:r>
            <w:r w:rsidR="00BD330B">
              <w:rPr>
                <w:rFonts w:cs="Tahoma"/>
                <w:bCs/>
                <w:szCs w:val="20"/>
                <w:lang w:eastAsia="en-US"/>
              </w:rPr>
              <w:t>.</w:t>
            </w:r>
          </w:p>
          <w:p w14:paraId="7777FD2D" w14:textId="42858E57" w:rsidR="00BD330B" w:rsidRDefault="00BD330B" w:rsidP="009734BB">
            <w:pPr>
              <w:rPr>
                <w:rFonts w:cs="Tahoma"/>
                <w:bCs/>
                <w:szCs w:val="20"/>
                <w:lang w:eastAsia="en-US"/>
              </w:rPr>
            </w:pPr>
            <w:r>
              <w:rPr>
                <w:rFonts w:cs="Tahoma"/>
                <w:bCs/>
                <w:szCs w:val="20"/>
                <w:lang w:eastAsia="en-US"/>
              </w:rPr>
              <w:t xml:space="preserve">Now that a firm proposal was in place, </w:t>
            </w:r>
            <w:r w:rsidR="000845FD">
              <w:rPr>
                <w:rFonts w:cs="Tahoma"/>
                <w:bCs/>
                <w:szCs w:val="20"/>
                <w:lang w:eastAsia="en-US"/>
              </w:rPr>
              <w:t>the GDNs resolved to decide by September whether to allow</w:t>
            </w:r>
            <w:r w:rsidR="00CD3D2C">
              <w:rPr>
                <w:rFonts w:cs="Tahoma"/>
                <w:bCs/>
                <w:szCs w:val="20"/>
                <w:lang w:eastAsia="en-US"/>
              </w:rPr>
              <w:t xml:space="preserve"> the software to be implemented on sites on their part of the network (ideally a unanimous decision, so that sites would not be penalised</w:t>
            </w:r>
            <w:r w:rsidR="006D50AF">
              <w:rPr>
                <w:rFonts w:cs="Tahoma"/>
                <w:bCs/>
                <w:szCs w:val="20"/>
                <w:lang w:eastAsia="en-US"/>
              </w:rPr>
              <w:t xml:space="preserve"> based on their location on the network).</w:t>
            </w:r>
          </w:p>
          <w:p w14:paraId="132037F5" w14:textId="197F4ECB" w:rsidR="006D50AF" w:rsidRDefault="00933FF2" w:rsidP="009734BB">
            <w:pPr>
              <w:rPr>
                <w:rFonts w:cs="Tahoma"/>
                <w:bCs/>
                <w:szCs w:val="20"/>
                <w:lang w:eastAsia="en-US"/>
              </w:rPr>
            </w:pPr>
            <w:r>
              <w:rPr>
                <w:rFonts w:cs="Tahoma"/>
                <w:bCs/>
                <w:szCs w:val="20"/>
                <w:lang w:eastAsia="en-US"/>
              </w:rPr>
              <w:t>JM queried the suitability of the solution for sites which were not served by nZero (Thyson/Orbital) GEUs</w:t>
            </w:r>
            <w:r w:rsidR="004B579B">
              <w:rPr>
                <w:rFonts w:cs="Tahoma"/>
                <w:bCs/>
                <w:szCs w:val="20"/>
                <w:lang w:eastAsia="en-US"/>
              </w:rPr>
              <w:t>; RB clarified that this software solution would be implementable for any GEU provider, and allow flexibility in how the tolerances were configured</w:t>
            </w:r>
            <w:r w:rsidR="00D527FC">
              <w:rPr>
                <w:rFonts w:cs="Tahoma"/>
                <w:bCs/>
                <w:szCs w:val="20"/>
                <w:lang w:eastAsia="en-US"/>
              </w:rPr>
              <w:t>, to allow for differences between the GDNs.</w:t>
            </w:r>
          </w:p>
          <w:p w14:paraId="1C45AB59" w14:textId="77777777" w:rsidR="00740F1B" w:rsidRDefault="00740F1B" w:rsidP="009734BB">
            <w:pPr>
              <w:rPr>
                <w:rFonts w:cs="Tahoma"/>
                <w:bCs/>
                <w:szCs w:val="20"/>
                <w:lang w:eastAsia="en-US"/>
              </w:rPr>
            </w:pPr>
          </w:p>
          <w:p w14:paraId="3C881D99" w14:textId="08004423" w:rsidR="00EF776A" w:rsidRDefault="00EF776A" w:rsidP="009734BB">
            <w:pPr>
              <w:rPr>
                <w:rFonts w:cs="Tahoma"/>
                <w:bCs/>
                <w:i/>
                <w:iCs/>
                <w:szCs w:val="20"/>
                <w:u w:val="single"/>
                <w:lang w:eastAsia="en-US"/>
              </w:rPr>
            </w:pPr>
            <w:r w:rsidRPr="00EF776A">
              <w:rPr>
                <w:rFonts w:cs="Tahoma"/>
                <w:bCs/>
                <w:i/>
                <w:iCs/>
                <w:szCs w:val="20"/>
                <w:u w:val="single"/>
                <w:lang w:eastAsia="en-US"/>
              </w:rPr>
              <w:t>2. Biomethane Blending</w:t>
            </w:r>
            <w:r>
              <w:rPr>
                <w:rFonts w:cs="Tahoma"/>
                <w:bCs/>
                <w:i/>
                <w:iCs/>
                <w:szCs w:val="20"/>
                <w:u w:val="single"/>
                <w:lang w:eastAsia="en-US"/>
              </w:rPr>
              <w:t xml:space="preserve"> (</w:t>
            </w:r>
            <w:r w:rsidR="00BD1628">
              <w:rPr>
                <w:rFonts w:cs="Tahoma"/>
                <w:bCs/>
                <w:i/>
                <w:iCs/>
                <w:szCs w:val="20"/>
                <w:u w:val="single"/>
                <w:lang w:eastAsia="en-US"/>
              </w:rPr>
              <w:t>JL</w:t>
            </w:r>
            <w:r>
              <w:rPr>
                <w:rFonts w:cs="Tahoma"/>
                <w:bCs/>
                <w:i/>
                <w:iCs/>
                <w:szCs w:val="20"/>
                <w:u w:val="single"/>
                <w:lang w:eastAsia="en-US"/>
              </w:rPr>
              <w:t>)</w:t>
            </w:r>
          </w:p>
          <w:p w14:paraId="58ABE6DB" w14:textId="278860EB" w:rsidR="00D527FC" w:rsidRDefault="00D72AD8" w:rsidP="009734BB">
            <w:pPr>
              <w:rPr>
                <w:rFonts w:cs="Tahoma"/>
                <w:bCs/>
                <w:szCs w:val="20"/>
                <w:lang w:eastAsia="en-US"/>
              </w:rPr>
            </w:pPr>
            <w:r>
              <w:rPr>
                <w:rFonts w:cs="Tahoma"/>
                <w:bCs/>
                <w:szCs w:val="20"/>
                <w:lang w:eastAsia="en-US"/>
              </w:rPr>
              <w:t>JL updated that the final sign-off of Cadent’s biomethane blending strategy was due in the week commencing August 14th, with a view that the document could be shared towards the end of August.</w:t>
            </w:r>
          </w:p>
          <w:p w14:paraId="27637108" w14:textId="0200D887" w:rsidR="00D72AD8" w:rsidRDefault="00D72AD8" w:rsidP="009734BB">
            <w:pPr>
              <w:rPr>
                <w:rFonts w:cs="Tahoma"/>
                <w:bCs/>
                <w:szCs w:val="20"/>
                <w:lang w:eastAsia="en-US"/>
              </w:rPr>
            </w:pPr>
            <w:r>
              <w:rPr>
                <w:rFonts w:cs="Tahoma"/>
                <w:bCs/>
                <w:szCs w:val="20"/>
                <w:lang w:eastAsia="en-US"/>
              </w:rPr>
              <w:t xml:space="preserve">JB queried how many sites on the network had </w:t>
            </w:r>
            <w:r w:rsidR="00833F74">
              <w:rPr>
                <w:rFonts w:cs="Tahoma"/>
                <w:bCs/>
                <w:szCs w:val="20"/>
                <w:lang w:eastAsia="en-US"/>
              </w:rPr>
              <w:t xml:space="preserve">blending facility at the time being (none from NGN and WWU, one from SGN and </w:t>
            </w:r>
            <w:r w:rsidR="00833F74" w:rsidRPr="004D36FC">
              <w:rPr>
                <w:rFonts w:cs="Tahoma"/>
                <w:bCs/>
                <w:i/>
                <w:iCs/>
                <w:szCs w:val="20"/>
                <w:lang w:eastAsia="en-US"/>
              </w:rPr>
              <w:t>po</w:t>
            </w:r>
            <w:r w:rsidR="004D36FC" w:rsidRPr="004D36FC">
              <w:rPr>
                <w:rFonts w:cs="Tahoma"/>
                <w:bCs/>
                <w:i/>
                <w:iCs/>
                <w:szCs w:val="20"/>
                <w:lang w:eastAsia="en-US"/>
              </w:rPr>
              <w:t>tentially</w:t>
            </w:r>
            <w:r w:rsidR="004D36FC">
              <w:rPr>
                <w:rFonts w:cs="Tahoma"/>
                <w:bCs/>
                <w:szCs w:val="20"/>
                <w:lang w:eastAsia="en-US"/>
              </w:rPr>
              <w:t xml:space="preserve"> one from Cadent).</w:t>
            </w:r>
          </w:p>
          <w:p w14:paraId="02EF9B4D" w14:textId="77777777" w:rsidR="0085604F" w:rsidRDefault="0085604F" w:rsidP="009734BB">
            <w:pPr>
              <w:rPr>
                <w:rFonts w:cs="Tahoma"/>
                <w:bCs/>
                <w:szCs w:val="20"/>
                <w:lang w:eastAsia="en-US"/>
              </w:rPr>
            </w:pPr>
          </w:p>
          <w:p w14:paraId="4543D6C2" w14:textId="38BC3A39" w:rsidR="000022F1" w:rsidRPr="00BD1628" w:rsidRDefault="00EC72A4" w:rsidP="00BD1628">
            <w:pPr>
              <w:rPr>
                <w:rFonts w:cs="Tahoma"/>
                <w:bCs/>
                <w:i/>
                <w:iCs/>
                <w:szCs w:val="20"/>
                <w:u w:val="single"/>
                <w:lang w:eastAsia="en-US"/>
              </w:rPr>
            </w:pPr>
            <w:r w:rsidRPr="00EC72A4">
              <w:rPr>
                <w:rFonts w:cs="Tahoma"/>
                <w:bCs/>
                <w:i/>
                <w:iCs/>
                <w:szCs w:val="20"/>
                <w:u w:val="single"/>
                <w:lang w:eastAsia="en-US"/>
              </w:rPr>
              <w:t>3. SGS Issues</w:t>
            </w:r>
            <w:r>
              <w:rPr>
                <w:rFonts w:cs="Tahoma"/>
                <w:bCs/>
                <w:i/>
                <w:iCs/>
                <w:szCs w:val="20"/>
                <w:u w:val="single"/>
                <w:lang w:eastAsia="en-US"/>
              </w:rPr>
              <w:t xml:space="preserve"> (JM)</w:t>
            </w:r>
          </w:p>
          <w:p w14:paraId="1CBE148F" w14:textId="5D54EC43" w:rsidR="004D36FC" w:rsidRDefault="003C6C8C" w:rsidP="009734BB">
            <w:pPr>
              <w:rPr>
                <w:rFonts w:cs="Tahoma"/>
                <w:bCs/>
                <w:szCs w:val="20"/>
                <w:lang w:eastAsia="en-US"/>
              </w:rPr>
            </w:pPr>
            <w:r>
              <w:rPr>
                <w:rFonts w:cs="Tahoma"/>
                <w:bCs/>
                <w:szCs w:val="20"/>
                <w:lang w:eastAsia="en-US"/>
              </w:rPr>
              <w:t>SGS Issues numbers for Q2 were being collated but had not all been received; to discuss at September’s meeting.</w:t>
            </w:r>
            <w:r w:rsidR="00567AC4">
              <w:rPr>
                <w:rFonts w:cs="Tahoma"/>
                <w:bCs/>
                <w:szCs w:val="20"/>
                <w:lang w:eastAsia="en-US"/>
              </w:rPr>
              <w:t xml:space="preserve"> </w:t>
            </w:r>
            <w:r>
              <w:rPr>
                <w:rFonts w:cs="Tahoma"/>
                <w:bCs/>
                <w:szCs w:val="20"/>
                <w:lang w:eastAsia="en-US"/>
              </w:rPr>
              <w:t xml:space="preserve">JM suggested that, based on SGN’s numbers, </w:t>
            </w:r>
            <w:r w:rsidR="001C1F03">
              <w:rPr>
                <w:rFonts w:cs="Tahoma"/>
                <w:bCs/>
                <w:szCs w:val="20"/>
                <w:lang w:eastAsia="en-US"/>
              </w:rPr>
              <w:t>another refresher might be necessary to deal with non-compliance issues. TG added that SGN had started implementing 1-on-1s with repeat-offending sites.</w:t>
            </w:r>
          </w:p>
          <w:p w14:paraId="5A202C3A" w14:textId="77777777" w:rsidR="00191C5C" w:rsidRDefault="00191C5C" w:rsidP="009734BB">
            <w:pPr>
              <w:rPr>
                <w:rFonts w:cs="Tahoma"/>
                <w:bCs/>
                <w:szCs w:val="20"/>
                <w:lang w:eastAsia="en-US"/>
              </w:rPr>
            </w:pPr>
          </w:p>
          <w:p w14:paraId="7F9E739D" w14:textId="26325E30" w:rsidR="00D9005F" w:rsidRDefault="00D9005F" w:rsidP="009734BB">
            <w:pPr>
              <w:rPr>
                <w:rFonts w:cs="Tahoma"/>
                <w:bCs/>
                <w:i/>
                <w:iCs/>
                <w:szCs w:val="20"/>
                <w:u w:val="single"/>
                <w:lang w:eastAsia="en-US"/>
              </w:rPr>
            </w:pPr>
            <w:r w:rsidRPr="00D9005F">
              <w:rPr>
                <w:rFonts w:cs="Tahoma"/>
                <w:bCs/>
                <w:i/>
                <w:iCs/>
                <w:szCs w:val="20"/>
                <w:u w:val="single"/>
                <w:lang w:eastAsia="en-US"/>
              </w:rPr>
              <w:t>4. Standardisation of ME2</w:t>
            </w:r>
            <w:r>
              <w:rPr>
                <w:rFonts w:cs="Tahoma"/>
                <w:bCs/>
                <w:i/>
                <w:iCs/>
                <w:szCs w:val="20"/>
                <w:u w:val="single"/>
                <w:lang w:eastAsia="en-US"/>
              </w:rPr>
              <w:t xml:space="preserve"> (</w:t>
            </w:r>
            <w:r w:rsidR="00D25CA9">
              <w:rPr>
                <w:rFonts w:cs="Tahoma"/>
                <w:bCs/>
                <w:i/>
                <w:iCs/>
                <w:szCs w:val="20"/>
                <w:u w:val="single"/>
                <w:lang w:eastAsia="en-US"/>
              </w:rPr>
              <w:t>/</w:t>
            </w:r>
            <w:r w:rsidR="008A4199">
              <w:rPr>
                <w:rFonts w:cs="Tahoma"/>
                <w:bCs/>
                <w:i/>
                <w:iCs/>
                <w:szCs w:val="20"/>
                <w:u w:val="single"/>
                <w:lang w:eastAsia="en-US"/>
              </w:rPr>
              <w:t>/</w:t>
            </w:r>
            <w:r>
              <w:rPr>
                <w:rFonts w:cs="Tahoma"/>
                <w:bCs/>
                <w:i/>
                <w:iCs/>
                <w:szCs w:val="20"/>
                <w:u w:val="single"/>
                <w:lang w:eastAsia="en-US"/>
              </w:rPr>
              <w:t>)</w:t>
            </w:r>
          </w:p>
          <w:p w14:paraId="4B94DDB9" w14:textId="2E0590A9" w:rsidR="0013387F" w:rsidRPr="00C32719" w:rsidRDefault="00C32719" w:rsidP="009734BB">
            <w:pPr>
              <w:rPr>
                <w:rFonts w:cs="Tahoma"/>
                <w:bCs/>
                <w:szCs w:val="20"/>
                <w:lang w:eastAsia="en-US"/>
              </w:rPr>
            </w:pPr>
            <w:r>
              <w:rPr>
                <w:rFonts w:cs="Tahoma"/>
                <w:bCs/>
                <w:szCs w:val="20"/>
                <w:lang w:eastAsia="en-US"/>
              </w:rPr>
              <w:t>No updat</w:t>
            </w:r>
            <w:r w:rsidR="008A4199">
              <w:rPr>
                <w:rFonts w:cs="Tahoma"/>
                <w:bCs/>
                <w:szCs w:val="20"/>
                <w:lang w:eastAsia="en-US"/>
              </w:rPr>
              <w:t>e.</w:t>
            </w:r>
          </w:p>
          <w:p w14:paraId="369493B3" w14:textId="77777777" w:rsidR="00C32719" w:rsidRDefault="00C32719" w:rsidP="009734BB">
            <w:pPr>
              <w:rPr>
                <w:rFonts w:cs="Tahoma"/>
                <w:b/>
                <w:szCs w:val="20"/>
                <w:lang w:eastAsia="en-US"/>
              </w:rPr>
            </w:pPr>
          </w:p>
          <w:p w14:paraId="22719578" w14:textId="063B2620" w:rsidR="0013387F" w:rsidRDefault="0013387F" w:rsidP="009734BB">
            <w:pPr>
              <w:rPr>
                <w:rFonts w:cs="Tahoma"/>
                <w:bCs/>
                <w:i/>
                <w:iCs/>
                <w:szCs w:val="20"/>
                <w:u w:val="single"/>
                <w:lang w:eastAsia="en-US"/>
              </w:rPr>
            </w:pPr>
            <w:r>
              <w:rPr>
                <w:rFonts w:cs="Tahoma"/>
                <w:bCs/>
                <w:i/>
                <w:iCs/>
                <w:szCs w:val="20"/>
                <w:u w:val="single"/>
                <w:lang w:eastAsia="en-US"/>
              </w:rPr>
              <w:t>5. Operator Competence Accreditation</w:t>
            </w:r>
            <w:r w:rsidR="00BA3FFF">
              <w:rPr>
                <w:rFonts w:cs="Tahoma"/>
                <w:bCs/>
                <w:i/>
                <w:iCs/>
                <w:szCs w:val="20"/>
                <w:u w:val="single"/>
                <w:lang w:eastAsia="en-US"/>
              </w:rPr>
              <w:t xml:space="preserve"> (</w:t>
            </w:r>
            <w:r w:rsidR="00D25CA9">
              <w:rPr>
                <w:rFonts w:cs="Tahoma"/>
                <w:bCs/>
                <w:i/>
                <w:iCs/>
                <w:szCs w:val="20"/>
                <w:u w:val="single"/>
                <w:lang w:eastAsia="en-US"/>
              </w:rPr>
              <w:t>//</w:t>
            </w:r>
            <w:r w:rsidR="00BA3FFF">
              <w:rPr>
                <w:rFonts w:cs="Tahoma"/>
                <w:bCs/>
                <w:i/>
                <w:iCs/>
                <w:szCs w:val="20"/>
                <w:u w:val="single"/>
                <w:lang w:eastAsia="en-US"/>
              </w:rPr>
              <w:t>)</w:t>
            </w:r>
          </w:p>
          <w:p w14:paraId="355B975C" w14:textId="70A62C90" w:rsidR="00D25CA9" w:rsidRDefault="009F1617" w:rsidP="009734BB">
            <w:pPr>
              <w:rPr>
                <w:rFonts w:cs="Tahoma"/>
                <w:bCs/>
                <w:szCs w:val="20"/>
                <w:lang w:eastAsia="en-US"/>
              </w:rPr>
            </w:pPr>
            <w:r>
              <w:rPr>
                <w:rFonts w:cs="Tahoma"/>
                <w:bCs/>
                <w:szCs w:val="20"/>
                <w:lang w:eastAsia="en-US"/>
              </w:rPr>
              <w:t xml:space="preserve">Workstream on hold for the time being, </w:t>
            </w:r>
            <w:r w:rsidR="00E37F04">
              <w:rPr>
                <w:rFonts w:cs="Tahoma"/>
                <w:bCs/>
                <w:szCs w:val="20"/>
                <w:lang w:eastAsia="en-US"/>
              </w:rPr>
              <w:t xml:space="preserve">with </w:t>
            </w:r>
            <w:r>
              <w:rPr>
                <w:rFonts w:cs="Tahoma"/>
                <w:bCs/>
                <w:szCs w:val="20"/>
                <w:lang w:eastAsia="en-US"/>
              </w:rPr>
              <w:t>no</w:t>
            </w:r>
            <w:r w:rsidR="0050421B">
              <w:rPr>
                <w:rFonts w:cs="Tahoma"/>
                <w:bCs/>
                <w:szCs w:val="20"/>
                <w:lang w:eastAsia="en-US"/>
              </w:rPr>
              <w:t xml:space="preserve"> new</w:t>
            </w:r>
            <w:r>
              <w:rPr>
                <w:rFonts w:cs="Tahoma"/>
                <w:bCs/>
                <w:szCs w:val="20"/>
                <w:lang w:eastAsia="en-US"/>
              </w:rPr>
              <w:t xml:space="preserve"> lead identified. JB suggested that </w:t>
            </w:r>
            <w:r w:rsidR="00E37F04">
              <w:rPr>
                <w:rFonts w:cs="Tahoma"/>
                <w:bCs/>
                <w:szCs w:val="20"/>
                <w:lang w:eastAsia="en-US"/>
              </w:rPr>
              <w:t>this workstream may have been overtaken by other events, as the industry had seen a significant upskilling in the past few years.</w:t>
            </w:r>
          </w:p>
          <w:p w14:paraId="5EE9DEA4" w14:textId="73192517" w:rsidR="0066774C" w:rsidRPr="0050421B" w:rsidRDefault="0050421B" w:rsidP="009734BB">
            <w:pPr>
              <w:rPr>
                <w:rFonts w:cs="Tahoma"/>
                <w:b/>
                <w:szCs w:val="20"/>
                <w:lang w:eastAsia="en-US"/>
              </w:rPr>
            </w:pPr>
            <w:r w:rsidRPr="0050421B">
              <w:rPr>
                <w:rFonts w:cs="Tahoma"/>
                <w:b/>
                <w:szCs w:val="20"/>
                <w:lang w:eastAsia="en-US"/>
              </w:rPr>
              <w:t>Action:</w:t>
            </w:r>
            <w:r>
              <w:rPr>
                <w:rFonts w:cs="Tahoma"/>
                <w:b/>
                <w:szCs w:val="20"/>
                <w:lang w:eastAsia="en-US"/>
              </w:rPr>
              <w:t xml:space="preserve"> ALL to consider new leads for the Operator Competence Accreditation workstream.</w:t>
            </w:r>
          </w:p>
          <w:p w14:paraId="09783980" w14:textId="77777777" w:rsidR="0050421B" w:rsidRDefault="0050421B" w:rsidP="009734BB">
            <w:pPr>
              <w:rPr>
                <w:rFonts w:cs="Tahoma"/>
                <w:bCs/>
                <w:szCs w:val="20"/>
                <w:lang w:eastAsia="en-US"/>
              </w:rPr>
            </w:pPr>
          </w:p>
          <w:p w14:paraId="0E34844E" w14:textId="41D924B7" w:rsidR="00BA3FFF" w:rsidRPr="00D7060D" w:rsidRDefault="00BA3FFF" w:rsidP="009734BB">
            <w:pPr>
              <w:rPr>
                <w:rFonts w:cs="Tahoma"/>
                <w:bCs/>
                <w:i/>
                <w:iCs/>
                <w:szCs w:val="20"/>
                <w:u w:val="single"/>
                <w:lang w:eastAsia="en-US"/>
              </w:rPr>
            </w:pPr>
            <w:r w:rsidRPr="00D7060D">
              <w:rPr>
                <w:rFonts w:cs="Tahoma"/>
                <w:bCs/>
                <w:i/>
                <w:iCs/>
                <w:szCs w:val="20"/>
                <w:u w:val="single"/>
                <w:lang w:eastAsia="en-US"/>
              </w:rPr>
              <w:t>6. Standardisation of Capacity Studies</w:t>
            </w:r>
            <w:r w:rsidR="00D7060D" w:rsidRPr="00D7060D">
              <w:rPr>
                <w:rFonts w:cs="Tahoma"/>
                <w:bCs/>
                <w:i/>
                <w:iCs/>
                <w:szCs w:val="20"/>
                <w:u w:val="single"/>
                <w:lang w:eastAsia="en-US"/>
              </w:rPr>
              <w:t xml:space="preserve"> (DN)</w:t>
            </w:r>
          </w:p>
          <w:p w14:paraId="2C7E44A3" w14:textId="4DFF40A7" w:rsidR="008E6D26" w:rsidRPr="00312376" w:rsidRDefault="00ED359D" w:rsidP="009734BB">
            <w:pPr>
              <w:rPr>
                <w:rFonts w:cs="Tahoma"/>
                <w:bCs/>
                <w:szCs w:val="20"/>
                <w:lang w:eastAsia="en-US"/>
              </w:rPr>
            </w:pPr>
            <w:r>
              <w:rPr>
                <w:rFonts w:cs="Tahoma"/>
                <w:bCs/>
                <w:szCs w:val="20"/>
                <w:lang w:eastAsia="en-US"/>
              </w:rPr>
              <w:t xml:space="preserve">A </w:t>
            </w:r>
            <w:r w:rsidR="00312376">
              <w:rPr>
                <w:rFonts w:cs="Tahoma"/>
                <w:bCs/>
                <w:szCs w:val="20"/>
                <w:lang w:eastAsia="en-US"/>
              </w:rPr>
              <w:t xml:space="preserve">GDN meeting </w:t>
            </w:r>
            <w:r>
              <w:rPr>
                <w:rFonts w:cs="Tahoma"/>
                <w:bCs/>
                <w:szCs w:val="20"/>
                <w:lang w:eastAsia="en-US"/>
              </w:rPr>
              <w:t xml:space="preserve">was </w:t>
            </w:r>
            <w:r w:rsidR="00312376">
              <w:rPr>
                <w:rFonts w:cs="Tahoma"/>
                <w:bCs/>
                <w:szCs w:val="20"/>
                <w:lang w:eastAsia="en-US"/>
              </w:rPr>
              <w:t>scheduled</w:t>
            </w:r>
            <w:r>
              <w:rPr>
                <w:rFonts w:cs="Tahoma"/>
                <w:bCs/>
                <w:szCs w:val="20"/>
                <w:lang w:eastAsia="en-US"/>
              </w:rPr>
              <w:t xml:space="preserve"> </w:t>
            </w:r>
            <w:r w:rsidR="0036321F">
              <w:rPr>
                <w:rFonts w:cs="Tahoma"/>
                <w:bCs/>
                <w:szCs w:val="20"/>
                <w:lang w:eastAsia="en-US"/>
              </w:rPr>
              <w:t>for 31</w:t>
            </w:r>
            <w:r w:rsidR="00312376">
              <w:rPr>
                <w:rFonts w:cs="Tahoma"/>
                <w:bCs/>
                <w:szCs w:val="20"/>
                <w:lang w:eastAsia="en-US"/>
              </w:rPr>
              <w:t xml:space="preserve">/07/2023 to </w:t>
            </w:r>
            <w:r>
              <w:rPr>
                <w:rFonts w:cs="Tahoma"/>
                <w:bCs/>
                <w:szCs w:val="20"/>
                <w:lang w:eastAsia="en-US"/>
              </w:rPr>
              <w:t>review the newest iteration of the</w:t>
            </w:r>
            <w:r w:rsidR="00312376">
              <w:rPr>
                <w:rFonts w:cs="Tahoma"/>
                <w:bCs/>
                <w:szCs w:val="20"/>
                <w:lang w:eastAsia="en-US"/>
              </w:rPr>
              <w:t xml:space="preserve"> </w:t>
            </w:r>
            <w:proofErr w:type="gramStart"/>
            <w:r w:rsidR="00312376">
              <w:rPr>
                <w:rFonts w:cs="Tahoma"/>
                <w:bCs/>
                <w:szCs w:val="20"/>
                <w:lang w:eastAsia="en-US"/>
              </w:rPr>
              <w:t>template</w:t>
            </w:r>
            <w:r>
              <w:rPr>
                <w:rFonts w:cs="Tahoma"/>
                <w:bCs/>
                <w:szCs w:val="20"/>
                <w:lang w:eastAsia="en-US"/>
              </w:rPr>
              <w:t>, and</w:t>
            </w:r>
            <w:proofErr w:type="gramEnd"/>
            <w:r>
              <w:rPr>
                <w:rFonts w:cs="Tahoma"/>
                <w:bCs/>
                <w:szCs w:val="20"/>
                <w:lang w:eastAsia="en-US"/>
              </w:rPr>
              <w:t xml:space="preserve"> ensure th</w:t>
            </w:r>
            <w:r w:rsidR="0036321F">
              <w:rPr>
                <w:rFonts w:cs="Tahoma"/>
                <w:bCs/>
                <w:szCs w:val="20"/>
                <w:lang w:eastAsia="en-US"/>
              </w:rPr>
              <w:t>at the template had</w:t>
            </w:r>
            <w:r w:rsidR="00312376">
              <w:rPr>
                <w:rFonts w:cs="Tahoma"/>
                <w:bCs/>
                <w:szCs w:val="20"/>
                <w:lang w:eastAsia="en-US"/>
              </w:rPr>
              <w:t xml:space="preserve"> not strayed too far from its original direction of travel.</w:t>
            </w:r>
          </w:p>
          <w:p w14:paraId="03B420E9" w14:textId="77777777" w:rsidR="00567AC4" w:rsidRDefault="00567AC4" w:rsidP="009734BB">
            <w:pPr>
              <w:rPr>
                <w:rFonts w:cs="Tahoma"/>
                <w:bCs/>
                <w:szCs w:val="20"/>
                <w:u w:val="single"/>
                <w:lang w:eastAsia="en-US"/>
              </w:rPr>
            </w:pPr>
          </w:p>
          <w:p w14:paraId="6B977B9A" w14:textId="77777777" w:rsidR="00567AC4" w:rsidRPr="00312376" w:rsidRDefault="00567AC4" w:rsidP="009734BB">
            <w:pPr>
              <w:rPr>
                <w:rFonts w:cs="Tahoma"/>
                <w:bCs/>
                <w:szCs w:val="20"/>
                <w:u w:val="single"/>
                <w:lang w:eastAsia="en-US"/>
              </w:rPr>
            </w:pPr>
          </w:p>
          <w:p w14:paraId="42F3927D" w14:textId="58D9773B" w:rsidR="00A42771" w:rsidRPr="00A42771" w:rsidRDefault="00A42771" w:rsidP="009734BB">
            <w:pPr>
              <w:rPr>
                <w:rFonts w:cs="Tahoma"/>
                <w:bCs/>
                <w:i/>
                <w:iCs/>
                <w:szCs w:val="20"/>
                <w:u w:val="single"/>
                <w:lang w:eastAsia="en-US"/>
              </w:rPr>
            </w:pPr>
            <w:r w:rsidRPr="00A42771">
              <w:rPr>
                <w:rFonts w:cs="Tahoma"/>
                <w:bCs/>
                <w:i/>
                <w:iCs/>
                <w:szCs w:val="20"/>
                <w:u w:val="single"/>
                <w:lang w:eastAsia="en-US"/>
              </w:rPr>
              <w:t>7. In-Grid Compression (AC</w:t>
            </w:r>
            <w:r w:rsidR="00BD1628">
              <w:rPr>
                <w:rFonts w:cs="Tahoma"/>
                <w:bCs/>
                <w:i/>
                <w:iCs/>
                <w:szCs w:val="20"/>
                <w:u w:val="single"/>
                <w:lang w:eastAsia="en-US"/>
              </w:rPr>
              <w:t xml:space="preserve"> / JL</w:t>
            </w:r>
            <w:r w:rsidRPr="00A42771">
              <w:rPr>
                <w:rFonts w:cs="Tahoma"/>
                <w:bCs/>
                <w:i/>
                <w:iCs/>
                <w:szCs w:val="20"/>
                <w:u w:val="single"/>
                <w:lang w:eastAsia="en-US"/>
              </w:rPr>
              <w:t>)</w:t>
            </w:r>
          </w:p>
          <w:p w14:paraId="2B2C502C" w14:textId="6AF9901C" w:rsidR="005A7FFC" w:rsidRDefault="006B70AC" w:rsidP="00400A9D">
            <w:pPr>
              <w:rPr>
                <w:rFonts w:cs="Tahoma"/>
                <w:bCs/>
                <w:szCs w:val="20"/>
                <w:lang w:eastAsia="en-US"/>
              </w:rPr>
            </w:pPr>
            <w:r>
              <w:rPr>
                <w:rFonts w:cs="Tahoma"/>
                <w:bCs/>
                <w:szCs w:val="20"/>
                <w:lang w:eastAsia="en-US"/>
              </w:rPr>
              <w:t xml:space="preserve">Ref. Action 33, JL updated on </w:t>
            </w:r>
            <w:hyperlink r:id="rId11" w:history="1">
              <w:r w:rsidRPr="006C65A0">
                <w:rPr>
                  <w:rStyle w:val="Hyperlink"/>
                  <w:rFonts w:cs="Tahoma"/>
                  <w:bCs/>
                  <w:szCs w:val="20"/>
                  <w:lang w:eastAsia="en-US"/>
                </w:rPr>
                <w:t>OptiNet</w:t>
              </w:r>
            </w:hyperlink>
            <w:r>
              <w:rPr>
                <w:rFonts w:cs="Tahoma"/>
                <w:bCs/>
                <w:szCs w:val="20"/>
                <w:lang w:eastAsia="en-US"/>
              </w:rPr>
              <w:t xml:space="preserve"> (</w:t>
            </w:r>
            <w:r w:rsidR="006C65A0">
              <w:rPr>
                <w:rFonts w:cs="Tahoma"/>
                <w:bCs/>
                <w:szCs w:val="20"/>
                <w:lang w:eastAsia="en-US"/>
              </w:rPr>
              <w:t>short for Optimised Network)</w:t>
            </w:r>
            <w:r w:rsidR="00CF7972">
              <w:rPr>
                <w:rFonts w:cs="Tahoma"/>
                <w:bCs/>
                <w:szCs w:val="20"/>
                <w:lang w:eastAsia="en-US"/>
              </w:rPr>
              <w:t>, the first reverse compressor to be installed on Cadent’s network, in Doncaster.</w:t>
            </w:r>
            <w:r w:rsidR="005A7FFC">
              <w:rPr>
                <w:rFonts w:cs="Tahoma"/>
                <w:bCs/>
                <w:szCs w:val="20"/>
                <w:lang w:eastAsia="en-US"/>
              </w:rPr>
              <w:t xml:space="preserve"> As it was the first of its kind, the project was NIA-funded (the Network Innovation Allowance). Outstanding snagging work had been completed</w:t>
            </w:r>
            <w:r w:rsidR="009D1C34">
              <w:rPr>
                <w:rFonts w:cs="Tahoma"/>
                <w:bCs/>
                <w:szCs w:val="20"/>
                <w:lang w:eastAsia="en-US"/>
              </w:rPr>
              <w:t>, as had work on other subsystems in the last few months (with the compressor safety review causing a slight delay).</w:t>
            </w:r>
            <w:r w:rsidR="006C5664">
              <w:rPr>
                <w:rFonts w:cs="Tahoma"/>
                <w:bCs/>
                <w:szCs w:val="20"/>
                <w:lang w:eastAsia="en-US"/>
              </w:rPr>
              <w:t xml:space="preserve"> The new commissioning date for OptiNet was in October, with field trials written into the NRO to enable a quick turnaround for the report (expected c. November).</w:t>
            </w:r>
          </w:p>
          <w:p w14:paraId="0FB63A29" w14:textId="507BE9DE" w:rsidR="00400A9D" w:rsidRDefault="006C5664" w:rsidP="00C652C5">
            <w:pPr>
              <w:rPr>
                <w:rFonts w:cs="Tahoma"/>
                <w:bCs/>
                <w:szCs w:val="20"/>
                <w:lang w:eastAsia="en-US"/>
              </w:rPr>
            </w:pPr>
            <w:r>
              <w:rPr>
                <w:rFonts w:cs="Tahoma"/>
                <w:bCs/>
                <w:szCs w:val="20"/>
                <w:lang w:eastAsia="en-US"/>
              </w:rPr>
              <w:t>HF updated on WWU’s contribution to work on Smart Pressure Control</w:t>
            </w:r>
            <w:r w:rsidR="00C652C5">
              <w:rPr>
                <w:rFonts w:cs="Tahoma"/>
                <w:bCs/>
                <w:szCs w:val="20"/>
                <w:lang w:eastAsia="en-US"/>
              </w:rPr>
              <w:t xml:space="preserve"> </w:t>
            </w:r>
            <w:r w:rsidR="00DA3A6A">
              <w:rPr>
                <w:rFonts w:cs="Tahoma"/>
                <w:bCs/>
                <w:szCs w:val="20"/>
                <w:lang w:eastAsia="en-US"/>
              </w:rPr>
              <w:t>to</w:t>
            </w:r>
            <w:r w:rsidR="00C652C5">
              <w:rPr>
                <w:rFonts w:cs="Tahoma"/>
                <w:bCs/>
                <w:szCs w:val="20"/>
                <w:lang w:eastAsia="en-US"/>
              </w:rPr>
              <w:t xml:space="preserve"> influence the compressor and</w:t>
            </w:r>
            <w:r w:rsidR="00DA3A6A">
              <w:rPr>
                <w:rFonts w:cs="Tahoma"/>
                <w:bCs/>
                <w:szCs w:val="20"/>
                <w:lang w:eastAsia="en-US"/>
              </w:rPr>
              <w:t xml:space="preserve"> maximise the use of green gas in the network</w:t>
            </w:r>
            <w:r>
              <w:rPr>
                <w:rFonts w:cs="Tahoma"/>
                <w:bCs/>
                <w:szCs w:val="20"/>
                <w:lang w:eastAsia="en-US"/>
              </w:rPr>
              <w:t xml:space="preserve">; the write-up </w:t>
            </w:r>
            <w:r w:rsidR="00871307">
              <w:rPr>
                <w:rFonts w:cs="Tahoma"/>
                <w:bCs/>
                <w:szCs w:val="20"/>
                <w:lang w:eastAsia="en-US"/>
              </w:rPr>
              <w:t xml:space="preserve">and learnings </w:t>
            </w:r>
            <w:r>
              <w:rPr>
                <w:rFonts w:cs="Tahoma"/>
                <w:bCs/>
                <w:szCs w:val="20"/>
                <w:lang w:eastAsia="en-US"/>
              </w:rPr>
              <w:t xml:space="preserve">would be included in the closeout </w:t>
            </w:r>
            <w:r w:rsidR="00C652C5">
              <w:rPr>
                <w:rFonts w:cs="Tahoma"/>
                <w:bCs/>
                <w:szCs w:val="20"/>
                <w:lang w:eastAsia="en-US"/>
              </w:rPr>
              <w:t>report but</w:t>
            </w:r>
            <w:r>
              <w:rPr>
                <w:rFonts w:cs="Tahoma"/>
                <w:bCs/>
                <w:szCs w:val="20"/>
                <w:lang w:eastAsia="en-US"/>
              </w:rPr>
              <w:t xml:space="preserve"> </w:t>
            </w:r>
            <w:r w:rsidR="00871307">
              <w:rPr>
                <w:rFonts w:cs="Tahoma"/>
                <w:bCs/>
                <w:szCs w:val="20"/>
                <w:lang w:eastAsia="en-US"/>
              </w:rPr>
              <w:t xml:space="preserve">may be available </w:t>
            </w:r>
            <w:r w:rsidR="00A81C25">
              <w:rPr>
                <w:rFonts w:cs="Tahoma"/>
                <w:bCs/>
                <w:szCs w:val="20"/>
                <w:lang w:eastAsia="en-US"/>
              </w:rPr>
              <w:t>sooner</w:t>
            </w:r>
            <w:r w:rsidR="00C652C5">
              <w:rPr>
                <w:rFonts w:cs="Tahoma"/>
                <w:bCs/>
                <w:szCs w:val="20"/>
                <w:lang w:eastAsia="en-US"/>
              </w:rPr>
              <w:t xml:space="preserve"> as a standalone</w:t>
            </w:r>
            <w:r w:rsidR="00A81C25">
              <w:rPr>
                <w:rFonts w:cs="Tahoma"/>
                <w:bCs/>
                <w:szCs w:val="20"/>
                <w:lang w:eastAsia="en-US"/>
              </w:rPr>
              <w:t xml:space="preserve"> report</w:t>
            </w:r>
            <w:r w:rsidR="00871307">
              <w:rPr>
                <w:rFonts w:cs="Tahoma"/>
                <w:bCs/>
                <w:szCs w:val="20"/>
                <w:lang w:eastAsia="en-US"/>
              </w:rPr>
              <w:t xml:space="preserve"> on the Smarter Networks Portal.</w:t>
            </w:r>
          </w:p>
          <w:p w14:paraId="718C3A2E" w14:textId="6B20488C" w:rsidR="00A21E67" w:rsidRDefault="00C652C5" w:rsidP="005E4356">
            <w:pPr>
              <w:rPr>
                <w:rFonts w:cs="Tahoma"/>
                <w:bCs/>
                <w:szCs w:val="20"/>
                <w:lang w:eastAsia="en-US"/>
              </w:rPr>
            </w:pPr>
            <w:r>
              <w:rPr>
                <w:rFonts w:cs="Tahoma"/>
                <w:bCs/>
                <w:szCs w:val="20"/>
                <w:lang w:eastAsia="en-US"/>
              </w:rPr>
              <w:t>JB updated that UNC Mod 808 was out for consultation</w:t>
            </w:r>
            <w:r w:rsidR="005E4356">
              <w:rPr>
                <w:rFonts w:cs="Tahoma"/>
                <w:bCs/>
                <w:szCs w:val="20"/>
                <w:lang w:eastAsia="en-US"/>
              </w:rPr>
              <w:t xml:space="preserve"> </w:t>
            </w:r>
            <w:r w:rsidR="003E366D">
              <w:rPr>
                <w:rFonts w:cs="Tahoma"/>
                <w:bCs/>
                <w:szCs w:val="20"/>
                <w:lang w:eastAsia="en-US"/>
              </w:rPr>
              <w:t>and</w:t>
            </w:r>
            <w:r w:rsidR="005E4356">
              <w:rPr>
                <w:rFonts w:cs="Tahoma"/>
                <w:bCs/>
                <w:szCs w:val="20"/>
                <w:lang w:eastAsia="en-US"/>
              </w:rPr>
              <w:t xml:space="preserve"> would return to the August panel for a vote.</w:t>
            </w:r>
          </w:p>
          <w:p w14:paraId="1A600580" w14:textId="77777777" w:rsidR="00A21E67" w:rsidRDefault="00A21E67" w:rsidP="009734BB">
            <w:pPr>
              <w:rPr>
                <w:rFonts w:cs="Tahoma"/>
                <w:bCs/>
                <w:szCs w:val="20"/>
                <w:lang w:eastAsia="en-US"/>
              </w:rPr>
            </w:pPr>
          </w:p>
          <w:p w14:paraId="0E1BE345" w14:textId="3D95DEFF" w:rsidR="00860BD9" w:rsidRDefault="00860BD9" w:rsidP="009734BB">
            <w:pPr>
              <w:rPr>
                <w:rFonts w:cs="Tahoma"/>
                <w:bCs/>
                <w:i/>
                <w:iCs/>
                <w:szCs w:val="20"/>
                <w:u w:val="single"/>
                <w:lang w:eastAsia="en-US"/>
              </w:rPr>
            </w:pPr>
            <w:r>
              <w:rPr>
                <w:rFonts w:cs="Tahoma"/>
                <w:bCs/>
                <w:i/>
                <w:iCs/>
                <w:szCs w:val="20"/>
                <w:u w:val="single"/>
                <w:lang w:eastAsia="en-US"/>
              </w:rPr>
              <w:t>8. Low Flow through NTS Meters (</w:t>
            </w:r>
            <w:r w:rsidR="00C146F4">
              <w:rPr>
                <w:rFonts w:cs="Tahoma"/>
                <w:bCs/>
                <w:i/>
                <w:iCs/>
                <w:szCs w:val="20"/>
                <w:u w:val="single"/>
                <w:lang w:eastAsia="en-US"/>
              </w:rPr>
              <w:t>AC</w:t>
            </w:r>
            <w:r>
              <w:rPr>
                <w:rFonts w:cs="Tahoma"/>
                <w:bCs/>
                <w:i/>
                <w:iCs/>
                <w:szCs w:val="20"/>
                <w:u w:val="single"/>
                <w:lang w:eastAsia="en-US"/>
              </w:rPr>
              <w:t>)</w:t>
            </w:r>
          </w:p>
          <w:p w14:paraId="5863CFE8" w14:textId="5576A5F1" w:rsidR="00A81C25" w:rsidRDefault="009E3550" w:rsidP="009734BB">
            <w:pPr>
              <w:rPr>
                <w:rFonts w:cs="Tahoma"/>
                <w:bCs/>
                <w:szCs w:val="20"/>
                <w:lang w:eastAsia="en-US"/>
              </w:rPr>
            </w:pPr>
            <w:r>
              <w:rPr>
                <w:rFonts w:cs="Tahoma"/>
                <w:bCs/>
                <w:szCs w:val="20"/>
                <w:lang w:eastAsia="en-US"/>
              </w:rPr>
              <w:t xml:space="preserve">As an outcome from a Technical Working Group Deep Dive in </w:t>
            </w:r>
            <w:r w:rsidR="00447A4C">
              <w:rPr>
                <w:rFonts w:cs="Tahoma"/>
                <w:bCs/>
                <w:szCs w:val="20"/>
                <w:lang w:eastAsia="en-US"/>
              </w:rPr>
              <w:t>June</w:t>
            </w:r>
            <w:r>
              <w:rPr>
                <w:rFonts w:cs="Tahoma"/>
                <w:bCs/>
                <w:szCs w:val="20"/>
                <w:lang w:eastAsia="en-US"/>
              </w:rPr>
              <w:t>, the GDNs shared the following</w:t>
            </w:r>
            <w:r w:rsidR="00E225FA">
              <w:rPr>
                <w:rFonts w:cs="Tahoma"/>
                <w:bCs/>
                <w:szCs w:val="20"/>
                <w:lang w:eastAsia="en-US"/>
              </w:rPr>
              <w:t xml:space="preserve">. </w:t>
            </w:r>
          </w:p>
          <w:p w14:paraId="5C4A3439" w14:textId="77777777" w:rsidR="009E3550" w:rsidRPr="009E3550" w:rsidRDefault="009E3550" w:rsidP="009E3550">
            <w:pPr>
              <w:rPr>
                <w:rFonts w:cs="Tahoma"/>
                <w:bCs/>
                <w:szCs w:val="20"/>
                <w:lang w:eastAsia="en-US"/>
              </w:rPr>
            </w:pPr>
            <w:r w:rsidRPr="009E3550">
              <w:rPr>
                <w:rFonts w:cs="Tahoma"/>
                <w:bCs/>
                <w:i/>
                <w:iCs/>
                <w:szCs w:val="20"/>
                <w:lang w:eastAsia="en-US"/>
              </w:rPr>
              <w:t>The issue of volume flow rates falling below acceptable uncertainty levels at National Gas Transmission to GDN offtakes, caused by increasing biomethane flow rates has been raised at industry forums in relation to possible constraints placed upon the development of new biomethane sites. The current GDN position relates to the requirements specified in both the Supplemental Agreements (between National Gas Transmission and the relevant GDN) and the obligations detailed in Appendix D of UNC OAD Section D which specifies an uncertainty level of +/- 1.0% for instantaneous volume flow rates. Where offtake flow rates are forecast to reduce below these permitted uncertainty levels as a direct result of new biomethane connections, the GDN, in line with Licence Condition D12 (which requires the GDN to charge the entrant to carry out activities to enable the gas entry point to be made available) will fully cost upgrade solutions required to offtakes to maintain the required uncertainty levels as required. Solutions can include metering and Local Gas Treatment upgrades or conversion from pressure to volumetric control to facilitate the entry connection.  The GDNs are aware of communications made to Ofgem regarding this issue and whether the level of measurement certainty should be adhered to in these scenarios; at this stage the GDNs are not aware of a definitive view from Ofgem in response to these communications and as a result will adhere to the current requirements detailed in the UNC and Supplemental Agreements.</w:t>
            </w:r>
          </w:p>
          <w:p w14:paraId="54640689" w14:textId="0473957A" w:rsidR="00BC1413" w:rsidRDefault="00822FDE" w:rsidP="009734BB">
            <w:pPr>
              <w:rPr>
                <w:rFonts w:cs="Tahoma"/>
                <w:bCs/>
                <w:szCs w:val="20"/>
                <w:lang w:eastAsia="en-US"/>
              </w:rPr>
            </w:pPr>
            <w:r>
              <w:rPr>
                <w:rFonts w:cs="Tahoma"/>
                <w:bCs/>
                <w:szCs w:val="20"/>
                <w:lang w:eastAsia="en-US"/>
              </w:rPr>
              <w:t xml:space="preserve">JB suggested sharing the above with Steve </w:t>
            </w:r>
            <w:r w:rsidR="00AB4AB5">
              <w:rPr>
                <w:rFonts w:cs="Tahoma"/>
                <w:bCs/>
                <w:szCs w:val="20"/>
                <w:lang w:eastAsia="en-US"/>
              </w:rPr>
              <w:t>Brown</w:t>
            </w:r>
            <w:r w:rsidR="002E3C51">
              <w:rPr>
                <w:rFonts w:cs="Tahoma"/>
                <w:bCs/>
                <w:szCs w:val="20"/>
                <w:lang w:eastAsia="en-US"/>
              </w:rPr>
              <w:t xml:space="preserve"> at Ofgem</w:t>
            </w:r>
            <w:r>
              <w:rPr>
                <w:rFonts w:cs="Tahoma"/>
                <w:bCs/>
                <w:szCs w:val="20"/>
                <w:lang w:eastAsia="en-US"/>
              </w:rPr>
              <w:t xml:space="preserve">; additionally, </w:t>
            </w:r>
            <w:r w:rsidR="00D4052F">
              <w:rPr>
                <w:rFonts w:cs="Tahoma"/>
                <w:bCs/>
                <w:szCs w:val="20"/>
                <w:lang w:eastAsia="en-US"/>
              </w:rPr>
              <w:t xml:space="preserve">following a decision at the Technical Working Group, </w:t>
            </w:r>
            <w:r w:rsidR="00AD551E">
              <w:rPr>
                <w:rFonts w:cs="Tahoma"/>
                <w:bCs/>
                <w:szCs w:val="20"/>
                <w:lang w:eastAsia="en-US"/>
              </w:rPr>
              <w:t>it was</w:t>
            </w:r>
            <w:r w:rsidR="00D4052F">
              <w:rPr>
                <w:rFonts w:cs="Tahoma"/>
                <w:bCs/>
                <w:szCs w:val="20"/>
                <w:lang w:eastAsia="en-US"/>
              </w:rPr>
              <w:t xml:space="preserve"> suggested </w:t>
            </w:r>
            <w:r w:rsidR="00AD551E">
              <w:rPr>
                <w:rFonts w:cs="Tahoma"/>
                <w:bCs/>
                <w:szCs w:val="20"/>
                <w:lang w:eastAsia="en-US"/>
              </w:rPr>
              <w:t xml:space="preserve">to </w:t>
            </w:r>
            <w:r w:rsidR="00D4052F">
              <w:rPr>
                <w:rFonts w:cs="Tahoma"/>
                <w:bCs/>
                <w:szCs w:val="20"/>
                <w:lang w:eastAsia="en-US"/>
              </w:rPr>
              <w:t>shar</w:t>
            </w:r>
            <w:r w:rsidR="00AD551E">
              <w:rPr>
                <w:rFonts w:cs="Tahoma"/>
                <w:bCs/>
                <w:szCs w:val="20"/>
                <w:lang w:eastAsia="en-US"/>
              </w:rPr>
              <w:t xml:space="preserve">e JB’s original letter to Steve </w:t>
            </w:r>
            <w:r w:rsidR="00AB4AB5">
              <w:rPr>
                <w:rFonts w:cs="Tahoma"/>
                <w:bCs/>
                <w:szCs w:val="20"/>
                <w:lang w:eastAsia="en-US"/>
              </w:rPr>
              <w:t>Brown</w:t>
            </w:r>
            <w:r w:rsidR="00AD551E">
              <w:rPr>
                <w:rFonts w:cs="Tahoma"/>
                <w:bCs/>
                <w:szCs w:val="20"/>
                <w:lang w:eastAsia="en-US"/>
              </w:rPr>
              <w:t xml:space="preserve"> with the Performance Assurance Committee.</w:t>
            </w:r>
          </w:p>
          <w:p w14:paraId="0C3BFD9F" w14:textId="77777777" w:rsidR="00A7104F" w:rsidRDefault="00A7104F" w:rsidP="009734BB">
            <w:pPr>
              <w:rPr>
                <w:rFonts w:cs="Tahoma"/>
                <w:bCs/>
                <w:szCs w:val="20"/>
                <w:lang w:eastAsia="en-US"/>
              </w:rPr>
            </w:pPr>
          </w:p>
          <w:p w14:paraId="0C137BBB" w14:textId="78D876B3" w:rsidR="00E720C9" w:rsidRDefault="00E720C9" w:rsidP="009734BB">
            <w:pPr>
              <w:rPr>
                <w:rFonts w:cs="Tahoma"/>
                <w:bCs/>
                <w:i/>
                <w:iCs/>
                <w:szCs w:val="20"/>
                <w:u w:val="single"/>
                <w:lang w:eastAsia="en-US"/>
              </w:rPr>
            </w:pPr>
            <w:r w:rsidRPr="00E720C9">
              <w:rPr>
                <w:rFonts w:cs="Tahoma"/>
                <w:bCs/>
                <w:i/>
                <w:iCs/>
                <w:szCs w:val="20"/>
                <w:u w:val="single"/>
                <w:lang w:eastAsia="en-US"/>
              </w:rPr>
              <w:t>9. Gas Entry via IGT Pipelines</w:t>
            </w:r>
            <w:r>
              <w:rPr>
                <w:rFonts w:cs="Tahoma"/>
                <w:bCs/>
                <w:i/>
                <w:iCs/>
                <w:szCs w:val="20"/>
                <w:u w:val="single"/>
                <w:lang w:eastAsia="en-US"/>
              </w:rPr>
              <w:t xml:space="preserve"> (JM)</w:t>
            </w:r>
          </w:p>
          <w:p w14:paraId="65F6163A" w14:textId="602CA290" w:rsidR="008D3B46" w:rsidRPr="00860BD9" w:rsidRDefault="00BD3AA9" w:rsidP="001F4D97">
            <w:pPr>
              <w:rPr>
                <w:rFonts w:cs="Tahoma"/>
                <w:bCs/>
                <w:szCs w:val="20"/>
                <w:lang w:eastAsia="en-US"/>
              </w:rPr>
            </w:pPr>
            <w:r>
              <w:rPr>
                <w:rFonts w:cs="Tahoma"/>
                <w:bCs/>
                <w:szCs w:val="20"/>
                <w:lang w:eastAsia="en-US"/>
              </w:rPr>
              <w:t xml:space="preserve">JM updated: </w:t>
            </w:r>
            <w:r w:rsidR="003157C0">
              <w:rPr>
                <w:rFonts w:cs="Tahoma"/>
                <w:bCs/>
                <w:szCs w:val="20"/>
                <w:lang w:eastAsia="en-US"/>
              </w:rPr>
              <w:t>UNC Mod</w:t>
            </w:r>
            <w:r w:rsidR="001F2D28">
              <w:rPr>
                <w:rFonts w:cs="Tahoma"/>
                <w:bCs/>
                <w:szCs w:val="20"/>
                <w:lang w:eastAsia="en-US"/>
              </w:rPr>
              <w:t xml:space="preserve"> 842</w:t>
            </w:r>
            <w:r>
              <w:rPr>
                <w:rFonts w:cs="Tahoma"/>
                <w:bCs/>
                <w:szCs w:val="20"/>
                <w:lang w:eastAsia="en-US"/>
              </w:rPr>
              <w:t xml:space="preserve"> had been raised and was</w:t>
            </w:r>
            <w:r w:rsidR="001F2D28">
              <w:rPr>
                <w:rFonts w:cs="Tahoma"/>
                <w:bCs/>
                <w:szCs w:val="20"/>
                <w:lang w:eastAsia="en-US"/>
              </w:rPr>
              <w:t xml:space="preserve"> due for discussion at </w:t>
            </w:r>
            <w:r>
              <w:rPr>
                <w:rFonts w:cs="Tahoma"/>
                <w:bCs/>
                <w:szCs w:val="20"/>
                <w:lang w:eastAsia="en-US"/>
              </w:rPr>
              <w:t>the D</w:t>
            </w:r>
            <w:r w:rsidR="001F2D28">
              <w:rPr>
                <w:rFonts w:cs="Tahoma"/>
                <w:bCs/>
                <w:szCs w:val="20"/>
                <w:lang w:eastAsia="en-US"/>
              </w:rPr>
              <w:t xml:space="preserve">istribution </w:t>
            </w:r>
            <w:r>
              <w:rPr>
                <w:rFonts w:cs="Tahoma"/>
                <w:bCs/>
                <w:szCs w:val="20"/>
                <w:lang w:eastAsia="en-US"/>
              </w:rPr>
              <w:t>W</w:t>
            </w:r>
            <w:r w:rsidR="001F2D28">
              <w:rPr>
                <w:rFonts w:cs="Tahoma"/>
                <w:bCs/>
                <w:szCs w:val="20"/>
                <w:lang w:eastAsia="en-US"/>
              </w:rPr>
              <w:t>ork</w:t>
            </w:r>
            <w:r>
              <w:rPr>
                <w:rFonts w:cs="Tahoma"/>
                <w:bCs/>
                <w:szCs w:val="20"/>
                <w:lang w:eastAsia="en-US"/>
              </w:rPr>
              <w:t xml:space="preserve"> G</w:t>
            </w:r>
            <w:r w:rsidR="001F2D28">
              <w:rPr>
                <w:rFonts w:cs="Tahoma"/>
                <w:bCs/>
                <w:szCs w:val="20"/>
                <w:lang w:eastAsia="en-US"/>
              </w:rPr>
              <w:t xml:space="preserve">roup </w:t>
            </w:r>
            <w:r>
              <w:rPr>
                <w:rFonts w:cs="Tahoma"/>
                <w:bCs/>
                <w:szCs w:val="20"/>
                <w:lang w:eastAsia="en-US"/>
              </w:rPr>
              <w:t xml:space="preserve">on </w:t>
            </w:r>
            <w:r w:rsidR="002E342C">
              <w:rPr>
                <w:rFonts w:cs="Tahoma"/>
                <w:bCs/>
                <w:szCs w:val="20"/>
                <w:lang w:eastAsia="en-US"/>
              </w:rPr>
              <w:t>28/07</w:t>
            </w:r>
            <w:r w:rsidR="008D3B46">
              <w:rPr>
                <w:rFonts w:cs="Tahoma"/>
                <w:bCs/>
                <w:szCs w:val="20"/>
                <w:lang w:eastAsia="en-US"/>
              </w:rPr>
              <w:t xml:space="preserve"> (but</w:t>
            </w:r>
            <w:r>
              <w:rPr>
                <w:rFonts w:cs="Tahoma"/>
                <w:bCs/>
                <w:szCs w:val="20"/>
                <w:lang w:eastAsia="en-US"/>
              </w:rPr>
              <w:t xml:space="preserve"> was</w:t>
            </w:r>
            <w:r w:rsidR="008D3B46">
              <w:rPr>
                <w:rFonts w:cs="Tahoma"/>
                <w:bCs/>
                <w:szCs w:val="20"/>
                <w:lang w:eastAsia="en-US"/>
              </w:rPr>
              <w:t xml:space="preserve"> still in development)</w:t>
            </w:r>
            <w:r>
              <w:rPr>
                <w:rFonts w:cs="Tahoma"/>
                <w:bCs/>
                <w:szCs w:val="20"/>
                <w:lang w:eastAsia="en-US"/>
              </w:rPr>
              <w:t>.</w:t>
            </w:r>
            <w:r w:rsidR="008D3B46">
              <w:rPr>
                <w:rFonts w:cs="Tahoma"/>
                <w:bCs/>
                <w:szCs w:val="20"/>
                <w:lang w:eastAsia="en-US"/>
              </w:rPr>
              <w:t xml:space="preserve"> </w:t>
            </w:r>
            <w:r>
              <w:rPr>
                <w:rFonts w:cs="Tahoma"/>
                <w:bCs/>
                <w:szCs w:val="20"/>
                <w:lang w:eastAsia="en-US"/>
              </w:rPr>
              <w:t>T</w:t>
            </w:r>
            <w:r w:rsidR="008D3B46">
              <w:rPr>
                <w:rFonts w:cs="Tahoma"/>
                <w:bCs/>
                <w:szCs w:val="20"/>
                <w:lang w:eastAsia="en-US"/>
              </w:rPr>
              <w:t xml:space="preserve">he </w:t>
            </w:r>
            <w:r>
              <w:rPr>
                <w:rFonts w:cs="Tahoma"/>
                <w:bCs/>
                <w:szCs w:val="20"/>
                <w:lang w:eastAsia="en-US"/>
              </w:rPr>
              <w:t xml:space="preserve">main </w:t>
            </w:r>
            <w:r w:rsidR="008D3B46">
              <w:rPr>
                <w:rFonts w:cs="Tahoma"/>
                <w:bCs/>
                <w:szCs w:val="20"/>
                <w:lang w:eastAsia="en-US"/>
              </w:rPr>
              <w:t xml:space="preserve">challenges </w:t>
            </w:r>
            <w:r>
              <w:rPr>
                <w:rFonts w:cs="Tahoma"/>
                <w:bCs/>
                <w:szCs w:val="20"/>
                <w:lang w:eastAsia="en-US"/>
              </w:rPr>
              <w:t>we</w:t>
            </w:r>
            <w:r w:rsidR="008D3B46">
              <w:rPr>
                <w:rFonts w:cs="Tahoma"/>
                <w:bCs/>
                <w:szCs w:val="20"/>
                <w:lang w:eastAsia="en-US"/>
              </w:rPr>
              <w:t xml:space="preserve">re about how </w:t>
            </w:r>
            <w:r>
              <w:rPr>
                <w:rFonts w:cs="Tahoma"/>
                <w:bCs/>
                <w:szCs w:val="20"/>
                <w:lang w:eastAsia="en-US"/>
              </w:rPr>
              <w:t xml:space="preserve">Network Entry Agreements and Network Entry Provisions were structured in </w:t>
            </w:r>
            <w:r w:rsidR="008D3B46">
              <w:rPr>
                <w:rFonts w:cs="Tahoma"/>
                <w:bCs/>
                <w:szCs w:val="20"/>
                <w:lang w:eastAsia="en-US"/>
              </w:rPr>
              <w:t>the UNC and IGT-UNC (</w:t>
            </w:r>
            <w:r>
              <w:rPr>
                <w:rFonts w:cs="Tahoma"/>
                <w:bCs/>
                <w:szCs w:val="20"/>
                <w:lang w:eastAsia="en-US"/>
              </w:rPr>
              <w:t>“</w:t>
            </w:r>
            <w:r w:rsidR="008D3B46">
              <w:rPr>
                <w:rFonts w:cs="Tahoma"/>
                <w:bCs/>
                <w:szCs w:val="20"/>
                <w:lang w:eastAsia="en-US"/>
              </w:rPr>
              <w:t>not unsurmountable, just complex</w:t>
            </w:r>
            <w:r>
              <w:rPr>
                <w:rFonts w:cs="Tahoma"/>
                <w:bCs/>
                <w:szCs w:val="20"/>
                <w:lang w:eastAsia="en-US"/>
              </w:rPr>
              <w:t>.”)</w:t>
            </w:r>
          </w:p>
        </w:tc>
      </w:tr>
    </w:tbl>
    <w:p w14:paraId="08FB0791" w14:textId="64085E62" w:rsidR="005E09ED" w:rsidRDefault="005E09ED" w:rsidP="002034B7">
      <w:pPr>
        <w:rPr>
          <w:rStyle w:val="SubtleReference"/>
          <w:smallCaps w:val="0"/>
          <w:color w:val="auto"/>
        </w:rPr>
      </w:pPr>
    </w:p>
    <w:p w14:paraId="3019B3DD" w14:textId="77777777" w:rsidR="005E09ED" w:rsidRDefault="005E09ED">
      <w:pPr>
        <w:spacing w:before="0" w:after="0"/>
        <w:rPr>
          <w:rStyle w:val="SubtleReference"/>
          <w:smallCaps w:val="0"/>
          <w:color w:val="auto"/>
        </w:rPr>
      </w:pPr>
      <w:r>
        <w:rPr>
          <w:rStyle w:val="SubtleReference"/>
          <w:smallCaps w:val="0"/>
          <w:color w:val="auto"/>
        </w:rPr>
        <w:br w:type="page"/>
      </w:r>
    </w:p>
    <w:tbl>
      <w:tblPr>
        <w:tblW w:w="9778" w:type="dxa"/>
        <w:tblBorders>
          <w:top w:val="single" w:sz="2" w:space="0" w:color="A6ACA9" w:themeColor="background2"/>
          <w:left w:val="single" w:sz="2" w:space="0" w:color="A6ACA9" w:themeColor="background2"/>
          <w:bottom w:val="single" w:sz="2" w:space="0" w:color="A6ACA9" w:themeColor="background2"/>
          <w:right w:val="single" w:sz="2" w:space="0" w:color="A6ACA9" w:themeColor="background2"/>
          <w:insideH w:val="single" w:sz="2" w:space="0" w:color="A6ACA9" w:themeColor="background2"/>
          <w:insideV w:val="single" w:sz="2" w:space="0" w:color="A6ACA9" w:themeColor="background2"/>
        </w:tblBorders>
        <w:tblLook w:val="0420" w:firstRow="1" w:lastRow="0" w:firstColumn="0" w:lastColumn="0" w:noHBand="0" w:noVBand="1"/>
      </w:tblPr>
      <w:tblGrid>
        <w:gridCol w:w="8077"/>
        <w:gridCol w:w="1701"/>
      </w:tblGrid>
      <w:tr w:rsidR="000B7ECA" w:rsidRPr="00232395" w14:paraId="48371CB4" w14:textId="77777777" w:rsidTr="009734BB">
        <w:trPr>
          <w:trHeight w:val="482"/>
        </w:trPr>
        <w:tc>
          <w:tcPr>
            <w:tcW w:w="8077" w:type="dxa"/>
            <w:shd w:val="clear" w:color="auto" w:fill="009FE3" w:themeFill="accent4"/>
            <w:vAlign w:val="center"/>
          </w:tcPr>
          <w:p w14:paraId="6A5ED1F4" w14:textId="04642F33" w:rsidR="000B7ECA" w:rsidRPr="00232395" w:rsidRDefault="00F616F1" w:rsidP="000B7ECA">
            <w:pPr>
              <w:rPr>
                <w:rFonts w:cs="Tahoma"/>
                <w:b/>
                <w:bCs/>
                <w:color w:val="FFFFFF" w:themeColor="background1"/>
                <w:szCs w:val="20"/>
                <w:lang w:eastAsia="en-US"/>
              </w:rPr>
            </w:pPr>
            <w:r>
              <w:rPr>
                <w:rStyle w:val="SubtleReference"/>
                <w:smallCaps w:val="0"/>
                <w:color w:val="auto"/>
              </w:rPr>
              <w:lastRenderedPageBreak/>
              <w:br w:type="page"/>
            </w:r>
            <w:r w:rsidR="000B7ECA">
              <w:rPr>
                <w:rFonts w:cs="Tahoma"/>
                <w:b/>
                <w:bCs/>
                <w:color w:val="FFFFFF" w:themeColor="background1"/>
                <w:szCs w:val="20"/>
                <w:lang w:eastAsia="en-US"/>
              </w:rPr>
              <w:t>4</w:t>
            </w:r>
            <w:r w:rsidR="00BD1628">
              <w:rPr>
                <w:rFonts w:cs="Tahoma"/>
                <w:b/>
                <w:bCs/>
                <w:color w:val="FFFFFF" w:themeColor="background1"/>
                <w:szCs w:val="20"/>
                <w:lang w:eastAsia="en-US"/>
              </w:rPr>
              <w:t>a</w:t>
            </w:r>
            <w:r w:rsidR="000B7ECA">
              <w:rPr>
                <w:rFonts w:cs="Tahoma"/>
                <w:b/>
                <w:bCs/>
                <w:color w:val="FFFFFF" w:themeColor="background1"/>
                <w:szCs w:val="20"/>
                <w:lang w:eastAsia="en-US"/>
              </w:rPr>
              <w:t>.  Commercial Propane</w:t>
            </w:r>
            <w:r w:rsidR="000838D7">
              <w:rPr>
                <w:rFonts w:cs="Tahoma"/>
                <w:b/>
                <w:bCs/>
                <w:color w:val="FFFFFF" w:themeColor="background1"/>
                <w:szCs w:val="20"/>
                <w:lang w:eastAsia="en-US"/>
              </w:rPr>
              <w:t xml:space="preserve"> Quality</w:t>
            </w:r>
          </w:p>
        </w:tc>
        <w:tc>
          <w:tcPr>
            <w:tcW w:w="1701" w:type="dxa"/>
            <w:shd w:val="clear" w:color="auto" w:fill="009FE3" w:themeFill="accent4"/>
            <w:vAlign w:val="center"/>
          </w:tcPr>
          <w:p w14:paraId="52A9693D" w14:textId="468265AE" w:rsidR="000B7ECA" w:rsidRPr="00232395" w:rsidRDefault="0000527F" w:rsidP="000B7ECA">
            <w:pPr>
              <w:jc w:val="center"/>
              <w:rPr>
                <w:rFonts w:cs="Tahoma"/>
                <w:b/>
                <w:bCs/>
                <w:color w:val="FFFFFF" w:themeColor="background1"/>
                <w:szCs w:val="20"/>
                <w:lang w:eastAsia="en-US"/>
              </w:rPr>
            </w:pPr>
            <w:r>
              <w:rPr>
                <w:rFonts w:cs="Tahoma"/>
                <w:b/>
                <w:bCs/>
                <w:color w:val="FFFFFF" w:themeColor="background1"/>
                <w:szCs w:val="20"/>
                <w:lang w:eastAsia="en-US"/>
              </w:rPr>
              <w:t>ALL</w:t>
            </w:r>
          </w:p>
        </w:tc>
      </w:tr>
      <w:tr w:rsidR="000B7ECA" w:rsidRPr="00232395" w14:paraId="2BDB490F" w14:textId="77777777" w:rsidTr="009734BB">
        <w:trPr>
          <w:trHeight w:val="482"/>
        </w:trPr>
        <w:tc>
          <w:tcPr>
            <w:tcW w:w="9778" w:type="dxa"/>
            <w:gridSpan w:val="2"/>
            <w:shd w:val="clear" w:color="auto" w:fill="E1F6FF"/>
            <w:vAlign w:val="center"/>
          </w:tcPr>
          <w:p w14:paraId="23272963" w14:textId="1A6BE6E2" w:rsidR="006868D1" w:rsidRDefault="00A14DA5" w:rsidP="00C06FCE">
            <w:r>
              <w:rPr>
                <w:rFonts w:cs="Tahoma"/>
                <w:bCs/>
                <w:szCs w:val="20"/>
                <w:lang w:eastAsia="en-US"/>
              </w:rPr>
              <w:t>Ref. Action 36</w:t>
            </w:r>
            <w:r w:rsidR="00AE49ED">
              <w:rPr>
                <w:rFonts w:cs="Tahoma"/>
                <w:bCs/>
                <w:szCs w:val="20"/>
                <w:lang w:eastAsia="en-US"/>
              </w:rPr>
              <w:t xml:space="preserve"> - </w:t>
            </w:r>
            <w:r w:rsidR="00153277">
              <w:rPr>
                <w:rFonts w:cs="Tahoma"/>
                <w:bCs/>
                <w:szCs w:val="20"/>
                <w:lang w:eastAsia="en-US"/>
              </w:rPr>
              <w:t>MR to re-share RB’s report “</w:t>
            </w:r>
            <w:r w:rsidR="00153277">
              <w:t>Commercial Propane &amp; Biomethane Systems: The Use &amp; Issues Faced” with the group.</w:t>
            </w:r>
          </w:p>
          <w:p w14:paraId="09BAA3A5" w14:textId="77777777" w:rsidR="00C166CA" w:rsidRDefault="006A0B07" w:rsidP="00C06FCE">
            <w:pPr>
              <w:rPr>
                <w:rFonts w:cs="Tahoma"/>
                <w:bCs/>
                <w:szCs w:val="20"/>
                <w:lang w:eastAsia="en-US"/>
              </w:rPr>
            </w:pPr>
            <w:r>
              <w:rPr>
                <w:rFonts w:cs="Tahoma"/>
                <w:bCs/>
                <w:szCs w:val="20"/>
                <w:lang w:eastAsia="en-US"/>
              </w:rPr>
              <w:t xml:space="preserve">Additionally, </w:t>
            </w:r>
            <w:r w:rsidR="008838E8">
              <w:rPr>
                <w:rFonts w:cs="Tahoma"/>
                <w:bCs/>
                <w:szCs w:val="20"/>
                <w:lang w:eastAsia="en-US"/>
              </w:rPr>
              <w:t xml:space="preserve">a questionnaire had been circulated </w:t>
            </w:r>
            <w:r w:rsidR="00053EA0">
              <w:rPr>
                <w:rFonts w:cs="Tahoma"/>
                <w:bCs/>
                <w:szCs w:val="20"/>
                <w:lang w:eastAsia="en-US"/>
              </w:rPr>
              <w:t>to sites</w:t>
            </w:r>
            <w:r w:rsidR="00AE49ED">
              <w:rPr>
                <w:rFonts w:cs="Tahoma"/>
                <w:bCs/>
                <w:szCs w:val="20"/>
                <w:lang w:eastAsia="en-US"/>
              </w:rPr>
              <w:t xml:space="preserve"> to gain more information</w:t>
            </w:r>
            <w:r w:rsidR="00053EA0">
              <w:rPr>
                <w:rFonts w:cs="Tahoma"/>
                <w:bCs/>
                <w:szCs w:val="20"/>
                <w:lang w:eastAsia="en-US"/>
              </w:rPr>
              <w:t xml:space="preserve">, covering: their propane supplier, </w:t>
            </w:r>
            <w:r w:rsidR="00A85E99">
              <w:rPr>
                <w:rFonts w:cs="Tahoma"/>
                <w:bCs/>
                <w:szCs w:val="20"/>
                <w:lang w:eastAsia="en-US"/>
              </w:rPr>
              <w:t xml:space="preserve">supplying refinery (if known), </w:t>
            </w:r>
            <w:r w:rsidR="000970C9">
              <w:rPr>
                <w:rFonts w:cs="Tahoma"/>
                <w:bCs/>
                <w:szCs w:val="20"/>
                <w:lang w:eastAsia="en-US"/>
              </w:rPr>
              <w:t xml:space="preserve">GEU supplier, </w:t>
            </w:r>
            <w:r w:rsidR="00A85E99">
              <w:rPr>
                <w:rFonts w:cs="Tahoma"/>
                <w:bCs/>
                <w:szCs w:val="20"/>
                <w:lang w:eastAsia="en-US"/>
              </w:rPr>
              <w:t xml:space="preserve">metering technology in place, details of any filtration in place, </w:t>
            </w:r>
            <w:r w:rsidR="000970C9">
              <w:rPr>
                <w:rFonts w:cs="Tahoma"/>
                <w:bCs/>
                <w:szCs w:val="20"/>
                <w:lang w:eastAsia="en-US"/>
              </w:rPr>
              <w:t>current meter cleaning frequency, and proactive measures in place to recognise contamination.</w:t>
            </w:r>
          </w:p>
          <w:p w14:paraId="0555138A" w14:textId="07FFE461" w:rsidR="00B02401" w:rsidRPr="00FD758F" w:rsidRDefault="00B02401" w:rsidP="00C06FCE">
            <w:pPr>
              <w:rPr>
                <w:rFonts w:cs="Tahoma"/>
                <w:b/>
                <w:szCs w:val="20"/>
                <w:lang w:eastAsia="en-US"/>
              </w:rPr>
            </w:pPr>
            <w:r w:rsidRPr="00FD758F">
              <w:rPr>
                <w:rFonts w:cs="Tahoma"/>
                <w:b/>
                <w:szCs w:val="20"/>
                <w:lang w:eastAsia="en-US"/>
              </w:rPr>
              <w:t xml:space="preserve">Action: NP to follow up through the European Biogas Association if propane contamination has </w:t>
            </w:r>
            <w:r w:rsidR="00FD758F" w:rsidRPr="00FD758F">
              <w:rPr>
                <w:rFonts w:cs="Tahoma"/>
                <w:b/>
                <w:szCs w:val="20"/>
                <w:lang w:eastAsia="en-US"/>
              </w:rPr>
              <w:t xml:space="preserve">been causing similar issues </w:t>
            </w:r>
            <w:r w:rsidR="00FD758F">
              <w:rPr>
                <w:rFonts w:cs="Tahoma"/>
                <w:b/>
                <w:szCs w:val="20"/>
                <w:lang w:eastAsia="en-US"/>
              </w:rPr>
              <w:t>for biomethane sites in</w:t>
            </w:r>
            <w:r w:rsidR="00FD758F" w:rsidRPr="00FD758F">
              <w:rPr>
                <w:rFonts w:cs="Tahoma"/>
                <w:b/>
                <w:szCs w:val="20"/>
                <w:lang w:eastAsia="en-US"/>
              </w:rPr>
              <w:t xml:space="preserve"> Europ</w:t>
            </w:r>
            <w:r w:rsidR="00FD758F">
              <w:rPr>
                <w:rFonts w:cs="Tahoma"/>
                <w:b/>
                <w:szCs w:val="20"/>
                <w:lang w:eastAsia="en-US"/>
              </w:rPr>
              <w:t>e.</w:t>
            </w:r>
          </w:p>
        </w:tc>
      </w:tr>
    </w:tbl>
    <w:p w14:paraId="5EBB9B9D" w14:textId="77777777" w:rsidR="002666DA" w:rsidRDefault="002666DA" w:rsidP="001F4D97">
      <w:pPr>
        <w:rPr>
          <w:rStyle w:val="SubtleReference"/>
          <w:smallCaps w:val="0"/>
          <w:color w:val="auto"/>
        </w:rPr>
      </w:pPr>
    </w:p>
    <w:tbl>
      <w:tblPr>
        <w:tblW w:w="9778" w:type="dxa"/>
        <w:tblBorders>
          <w:top w:val="single" w:sz="2" w:space="0" w:color="A6ACA9" w:themeColor="background2"/>
          <w:left w:val="single" w:sz="2" w:space="0" w:color="A6ACA9" w:themeColor="background2"/>
          <w:bottom w:val="single" w:sz="2" w:space="0" w:color="A6ACA9" w:themeColor="background2"/>
          <w:right w:val="single" w:sz="2" w:space="0" w:color="A6ACA9" w:themeColor="background2"/>
          <w:insideH w:val="single" w:sz="2" w:space="0" w:color="A6ACA9" w:themeColor="background2"/>
          <w:insideV w:val="single" w:sz="2" w:space="0" w:color="A6ACA9" w:themeColor="background2"/>
        </w:tblBorders>
        <w:tblLook w:val="0420" w:firstRow="1" w:lastRow="0" w:firstColumn="0" w:lastColumn="0" w:noHBand="0" w:noVBand="1"/>
      </w:tblPr>
      <w:tblGrid>
        <w:gridCol w:w="8077"/>
        <w:gridCol w:w="1701"/>
      </w:tblGrid>
      <w:tr w:rsidR="00BD1628" w:rsidRPr="00232395" w14:paraId="1ACBFA5D" w14:textId="77777777" w:rsidTr="00B43C38">
        <w:trPr>
          <w:trHeight w:val="482"/>
        </w:trPr>
        <w:tc>
          <w:tcPr>
            <w:tcW w:w="8077" w:type="dxa"/>
            <w:shd w:val="clear" w:color="auto" w:fill="009FE3" w:themeFill="accent4"/>
            <w:vAlign w:val="center"/>
          </w:tcPr>
          <w:p w14:paraId="6AEB36EF" w14:textId="09EAB38A" w:rsidR="00BD1628" w:rsidRPr="00232395" w:rsidRDefault="00BD1628" w:rsidP="00B43C38">
            <w:pPr>
              <w:rPr>
                <w:rFonts w:cs="Tahoma"/>
                <w:b/>
                <w:bCs/>
                <w:color w:val="FFFFFF" w:themeColor="background1"/>
                <w:szCs w:val="20"/>
                <w:lang w:eastAsia="en-US"/>
              </w:rPr>
            </w:pPr>
            <w:r>
              <w:rPr>
                <w:rFonts w:cs="Tahoma"/>
                <w:b/>
                <w:bCs/>
                <w:color w:val="FFFFFF" w:themeColor="background1"/>
                <w:szCs w:val="20"/>
                <w:lang w:eastAsia="en-US"/>
              </w:rPr>
              <w:t>4</w:t>
            </w:r>
            <w:r w:rsidR="000838D7">
              <w:rPr>
                <w:rFonts w:cs="Tahoma"/>
                <w:b/>
                <w:bCs/>
                <w:color w:val="FFFFFF" w:themeColor="background1"/>
                <w:szCs w:val="20"/>
                <w:lang w:eastAsia="en-US"/>
              </w:rPr>
              <w:t>b. GS(M)R Amendments</w:t>
            </w:r>
          </w:p>
        </w:tc>
        <w:tc>
          <w:tcPr>
            <w:tcW w:w="1701" w:type="dxa"/>
            <w:shd w:val="clear" w:color="auto" w:fill="009FE3" w:themeFill="accent4"/>
            <w:vAlign w:val="center"/>
          </w:tcPr>
          <w:p w14:paraId="5CA75746" w14:textId="188966F5" w:rsidR="00BD1628" w:rsidRPr="00232395" w:rsidRDefault="0000527F" w:rsidP="00B43C38">
            <w:pPr>
              <w:jc w:val="center"/>
              <w:rPr>
                <w:rFonts w:cs="Tahoma"/>
                <w:b/>
                <w:bCs/>
                <w:color w:val="FFFFFF" w:themeColor="background1"/>
                <w:szCs w:val="20"/>
                <w:lang w:eastAsia="en-US"/>
              </w:rPr>
            </w:pPr>
            <w:r>
              <w:rPr>
                <w:rFonts w:cs="Tahoma"/>
                <w:b/>
                <w:bCs/>
                <w:color w:val="FFFFFF" w:themeColor="background1"/>
                <w:szCs w:val="20"/>
                <w:lang w:eastAsia="en-US"/>
              </w:rPr>
              <w:t>ALL</w:t>
            </w:r>
          </w:p>
        </w:tc>
      </w:tr>
      <w:tr w:rsidR="00BD1628" w:rsidRPr="001D10EE" w14:paraId="1202623F" w14:textId="77777777" w:rsidTr="00B43C38">
        <w:trPr>
          <w:trHeight w:val="482"/>
        </w:trPr>
        <w:tc>
          <w:tcPr>
            <w:tcW w:w="9778" w:type="dxa"/>
            <w:gridSpan w:val="2"/>
            <w:shd w:val="clear" w:color="auto" w:fill="E1F6FF"/>
            <w:vAlign w:val="center"/>
          </w:tcPr>
          <w:p w14:paraId="14E75980" w14:textId="58751B05" w:rsidR="0015192A" w:rsidRDefault="0015192A" w:rsidP="00B43C38">
            <w:pPr>
              <w:rPr>
                <w:rFonts w:cs="Tahoma"/>
                <w:bCs/>
                <w:szCs w:val="20"/>
                <w:lang w:eastAsia="en-US"/>
              </w:rPr>
            </w:pPr>
            <w:r>
              <w:rPr>
                <w:rFonts w:cs="Tahoma"/>
                <w:bCs/>
                <w:szCs w:val="20"/>
                <w:lang w:eastAsia="en-US"/>
              </w:rPr>
              <w:t xml:space="preserve">CL updated on WWU’s stance: </w:t>
            </w:r>
            <w:r w:rsidR="005E2DDC">
              <w:rPr>
                <w:rFonts w:cs="Tahoma"/>
                <w:bCs/>
                <w:szCs w:val="20"/>
                <w:lang w:eastAsia="en-US"/>
              </w:rPr>
              <w:t>DFOs had been informed of changes to GS(M)</w:t>
            </w:r>
            <w:proofErr w:type="spellStart"/>
            <w:r w:rsidR="005E2DDC">
              <w:rPr>
                <w:rFonts w:cs="Tahoma"/>
                <w:bCs/>
                <w:szCs w:val="20"/>
                <w:lang w:eastAsia="en-US"/>
              </w:rPr>
              <w:t>R</w:t>
            </w:r>
            <w:proofErr w:type="spellEnd"/>
            <w:r w:rsidR="005E2DDC">
              <w:rPr>
                <w:rFonts w:cs="Tahoma"/>
                <w:bCs/>
                <w:szCs w:val="20"/>
                <w:lang w:eastAsia="en-US"/>
              </w:rPr>
              <w:t xml:space="preserve"> by email. As WWU did not own or influence the running of their sites, it was the responsibility of the sites to make changes to the system. </w:t>
            </w:r>
            <w:r w:rsidR="004237A6">
              <w:rPr>
                <w:rFonts w:cs="Tahoma"/>
                <w:bCs/>
                <w:szCs w:val="20"/>
                <w:lang w:eastAsia="en-US"/>
              </w:rPr>
              <w:t>Any changes to the telemetry (requiring end-to-end checks) could be booked in with WWU. It was also the responsibility of the site</w:t>
            </w:r>
            <w:r w:rsidR="00BC10B5">
              <w:rPr>
                <w:rFonts w:cs="Tahoma"/>
                <w:bCs/>
                <w:szCs w:val="20"/>
                <w:lang w:eastAsia="en-US"/>
              </w:rPr>
              <w:t>s to determine whether they needed to provide a safety case (Oct 2024).</w:t>
            </w:r>
          </w:p>
          <w:p w14:paraId="5E6CE131" w14:textId="56E6C7F7" w:rsidR="006F42CC" w:rsidRDefault="006F42CC" w:rsidP="00B43C38">
            <w:pPr>
              <w:rPr>
                <w:rFonts w:cs="Tahoma"/>
                <w:bCs/>
                <w:szCs w:val="20"/>
                <w:lang w:eastAsia="en-US"/>
              </w:rPr>
            </w:pPr>
            <w:r>
              <w:rPr>
                <w:rFonts w:cs="Tahoma"/>
                <w:bCs/>
                <w:szCs w:val="20"/>
                <w:lang w:eastAsia="en-US"/>
              </w:rPr>
              <w:t>JM noted that the situation was slightly different for SGN, as a reconfiguration of the system was required, not just an amendment to the divert valve logic (which would have been within the remit of the DFO).</w:t>
            </w:r>
          </w:p>
          <w:p w14:paraId="1E5084C6" w14:textId="5A8B5661" w:rsidR="007D7446" w:rsidRPr="00C166CA" w:rsidRDefault="00D54751" w:rsidP="00586AA4">
            <w:pPr>
              <w:rPr>
                <w:rFonts w:cs="Tahoma"/>
                <w:bCs/>
                <w:szCs w:val="20"/>
                <w:lang w:eastAsia="en-US"/>
              </w:rPr>
            </w:pPr>
            <w:r>
              <w:rPr>
                <w:rFonts w:cs="Tahoma"/>
                <w:bCs/>
                <w:szCs w:val="20"/>
                <w:lang w:eastAsia="en-US"/>
              </w:rPr>
              <w:t xml:space="preserve">Ref Action 27., </w:t>
            </w:r>
            <w:r w:rsidR="00586AA4">
              <w:rPr>
                <w:rFonts w:cs="Tahoma"/>
                <w:bCs/>
                <w:szCs w:val="20"/>
                <w:lang w:eastAsia="en-US"/>
              </w:rPr>
              <w:t>the other GDNs</w:t>
            </w:r>
            <w:r>
              <w:rPr>
                <w:rFonts w:cs="Tahoma"/>
                <w:bCs/>
                <w:szCs w:val="20"/>
                <w:lang w:eastAsia="en-US"/>
              </w:rPr>
              <w:t xml:space="preserve"> </w:t>
            </w:r>
            <w:r w:rsidR="00586AA4">
              <w:rPr>
                <w:rFonts w:cs="Tahoma"/>
                <w:bCs/>
                <w:szCs w:val="20"/>
                <w:lang w:eastAsia="en-US"/>
              </w:rPr>
              <w:t xml:space="preserve">were </w:t>
            </w:r>
            <w:r>
              <w:rPr>
                <w:rFonts w:cs="Tahoma"/>
                <w:bCs/>
                <w:szCs w:val="20"/>
                <w:lang w:eastAsia="en-US"/>
              </w:rPr>
              <w:t>to provide a</w:t>
            </w:r>
            <w:r w:rsidR="00FD517C">
              <w:rPr>
                <w:rFonts w:cs="Tahoma"/>
                <w:bCs/>
                <w:szCs w:val="20"/>
                <w:lang w:eastAsia="en-US"/>
              </w:rPr>
              <w:t>n update on their stance next meeting.</w:t>
            </w:r>
          </w:p>
        </w:tc>
      </w:tr>
    </w:tbl>
    <w:p w14:paraId="4212EBC2" w14:textId="77777777" w:rsidR="00BD1628" w:rsidRDefault="00BD1628" w:rsidP="001F4D97">
      <w:pPr>
        <w:rPr>
          <w:rStyle w:val="SubtleReference"/>
          <w:smallCaps w:val="0"/>
          <w:color w:val="auto"/>
        </w:rPr>
      </w:pPr>
    </w:p>
    <w:tbl>
      <w:tblPr>
        <w:tblW w:w="9778" w:type="dxa"/>
        <w:tblBorders>
          <w:top w:val="single" w:sz="2" w:space="0" w:color="A6ACA9" w:themeColor="background2"/>
          <w:left w:val="single" w:sz="2" w:space="0" w:color="A6ACA9" w:themeColor="background2"/>
          <w:bottom w:val="single" w:sz="2" w:space="0" w:color="A6ACA9" w:themeColor="background2"/>
          <w:right w:val="single" w:sz="2" w:space="0" w:color="A6ACA9" w:themeColor="background2"/>
          <w:insideH w:val="single" w:sz="2" w:space="0" w:color="A6ACA9" w:themeColor="background2"/>
          <w:insideV w:val="single" w:sz="2" w:space="0" w:color="A6ACA9" w:themeColor="background2"/>
        </w:tblBorders>
        <w:tblLook w:val="0420" w:firstRow="1" w:lastRow="0" w:firstColumn="0" w:lastColumn="0" w:noHBand="0" w:noVBand="1"/>
      </w:tblPr>
      <w:tblGrid>
        <w:gridCol w:w="8077"/>
        <w:gridCol w:w="1701"/>
      </w:tblGrid>
      <w:tr w:rsidR="000838D7" w:rsidRPr="00232395" w14:paraId="64509A23" w14:textId="77777777" w:rsidTr="00B43C38">
        <w:trPr>
          <w:trHeight w:val="482"/>
        </w:trPr>
        <w:tc>
          <w:tcPr>
            <w:tcW w:w="8077" w:type="dxa"/>
            <w:shd w:val="clear" w:color="auto" w:fill="009FE3" w:themeFill="accent4"/>
            <w:vAlign w:val="center"/>
          </w:tcPr>
          <w:p w14:paraId="4A28F018" w14:textId="347D8E50" w:rsidR="000838D7" w:rsidRPr="00232395" w:rsidRDefault="000838D7" w:rsidP="00B43C38">
            <w:pPr>
              <w:rPr>
                <w:rFonts w:cs="Tahoma"/>
                <w:b/>
                <w:bCs/>
                <w:color w:val="FFFFFF" w:themeColor="background1"/>
                <w:szCs w:val="20"/>
                <w:lang w:eastAsia="en-US"/>
              </w:rPr>
            </w:pPr>
            <w:r>
              <w:rPr>
                <w:rFonts w:cs="Tahoma"/>
                <w:b/>
                <w:bCs/>
                <w:color w:val="FFFFFF" w:themeColor="background1"/>
                <w:szCs w:val="20"/>
                <w:lang w:eastAsia="en-US"/>
              </w:rPr>
              <w:t>AOB – On-site incident on the network</w:t>
            </w:r>
          </w:p>
        </w:tc>
        <w:tc>
          <w:tcPr>
            <w:tcW w:w="1701" w:type="dxa"/>
            <w:shd w:val="clear" w:color="auto" w:fill="009FE3" w:themeFill="accent4"/>
            <w:vAlign w:val="center"/>
          </w:tcPr>
          <w:p w14:paraId="1F8FA243" w14:textId="185C7C24" w:rsidR="000838D7" w:rsidRPr="00232395" w:rsidRDefault="004458BA" w:rsidP="00B43C38">
            <w:pPr>
              <w:jc w:val="center"/>
              <w:rPr>
                <w:rFonts w:cs="Tahoma"/>
                <w:b/>
                <w:bCs/>
                <w:color w:val="FFFFFF" w:themeColor="background1"/>
                <w:szCs w:val="20"/>
                <w:lang w:eastAsia="en-US"/>
              </w:rPr>
            </w:pPr>
            <w:r>
              <w:rPr>
                <w:rFonts w:cs="Tahoma"/>
                <w:b/>
                <w:bCs/>
                <w:color w:val="FFFFFF" w:themeColor="background1"/>
                <w:szCs w:val="20"/>
                <w:lang w:eastAsia="en-US"/>
              </w:rPr>
              <w:t>EB</w:t>
            </w:r>
          </w:p>
        </w:tc>
      </w:tr>
      <w:tr w:rsidR="000838D7" w:rsidRPr="001D10EE" w14:paraId="4DA6DF95" w14:textId="77777777" w:rsidTr="00B43C38">
        <w:trPr>
          <w:trHeight w:val="482"/>
        </w:trPr>
        <w:tc>
          <w:tcPr>
            <w:tcW w:w="9778" w:type="dxa"/>
            <w:gridSpan w:val="2"/>
            <w:shd w:val="clear" w:color="auto" w:fill="E1F6FF"/>
            <w:vAlign w:val="center"/>
          </w:tcPr>
          <w:p w14:paraId="03361A98" w14:textId="1B610CF8" w:rsidR="000838D7" w:rsidRPr="00F674DA" w:rsidRDefault="00B56804" w:rsidP="00B43C38">
            <w:pPr>
              <w:rPr>
                <w:rFonts w:cs="Tahoma"/>
                <w:bCs/>
                <w:szCs w:val="20"/>
                <w:lang w:eastAsia="en-US"/>
              </w:rPr>
            </w:pPr>
            <w:r>
              <w:rPr>
                <w:rFonts w:cs="Tahoma"/>
                <w:bCs/>
                <w:szCs w:val="20"/>
                <w:lang w:eastAsia="en-US"/>
              </w:rPr>
              <w:t>EB reported on an explosion on an NGN site last week</w:t>
            </w:r>
            <w:r w:rsidR="00DB48E6">
              <w:rPr>
                <w:rFonts w:cs="Tahoma"/>
                <w:bCs/>
                <w:szCs w:val="20"/>
                <w:lang w:eastAsia="en-US"/>
              </w:rPr>
              <w:t>. An investigation had been launched</w:t>
            </w:r>
            <w:r w:rsidR="0087564B">
              <w:rPr>
                <w:rFonts w:cs="Tahoma"/>
                <w:bCs/>
                <w:szCs w:val="20"/>
                <w:lang w:eastAsia="en-US"/>
              </w:rPr>
              <w:t xml:space="preserve"> </w:t>
            </w:r>
            <w:r w:rsidR="00DB48E6">
              <w:rPr>
                <w:rFonts w:cs="Tahoma"/>
                <w:bCs/>
                <w:szCs w:val="20"/>
                <w:lang w:eastAsia="en-US"/>
              </w:rPr>
              <w:t xml:space="preserve">but </w:t>
            </w:r>
            <w:r w:rsidR="00A215EF">
              <w:rPr>
                <w:rFonts w:cs="Tahoma"/>
                <w:bCs/>
                <w:szCs w:val="20"/>
                <w:lang w:eastAsia="en-US"/>
              </w:rPr>
              <w:t xml:space="preserve">not much </w:t>
            </w:r>
            <w:r w:rsidR="0000527F">
              <w:rPr>
                <w:rFonts w:cs="Tahoma"/>
                <w:bCs/>
                <w:szCs w:val="20"/>
                <w:lang w:eastAsia="en-US"/>
              </w:rPr>
              <w:t>more</w:t>
            </w:r>
            <w:r w:rsidR="00A215EF">
              <w:rPr>
                <w:rFonts w:cs="Tahoma"/>
                <w:bCs/>
                <w:szCs w:val="20"/>
                <w:lang w:eastAsia="en-US"/>
              </w:rPr>
              <w:t xml:space="preserve"> </w:t>
            </w:r>
            <w:r w:rsidR="0087564B">
              <w:rPr>
                <w:rFonts w:cs="Tahoma"/>
                <w:bCs/>
                <w:szCs w:val="20"/>
                <w:lang w:eastAsia="en-US"/>
              </w:rPr>
              <w:t xml:space="preserve">information </w:t>
            </w:r>
            <w:r w:rsidR="00A215EF">
              <w:rPr>
                <w:rFonts w:cs="Tahoma"/>
                <w:bCs/>
                <w:szCs w:val="20"/>
                <w:lang w:eastAsia="en-US"/>
              </w:rPr>
              <w:t>could be shared at this time</w:t>
            </w:r>
            <w:r w:rsidR="00DF5F52">
              <w:rPr>
                <w:rFonts w:cs="Tahoma"/>
                <w:bCs/>
                <w:szCs w:val="20"/>
                <w:lang w:eastAsia="en-US"/>
              </w:rPr>
              <w:t>. N</w:t>
            </w:r>
            <w:r w:rsidR="0087564B">
              <w:rPr>
                <w:rFonts w:cs="Tahoma"/>
                <w:bCs/>
                <w:szCs w:val="20"/>
                <w:lang w:eastAsia="en-US"/>
              </w:rPr>
              <w:t>ote that n</w:t>
            </w:r>
            <w:r w:rsidR="00DF5F52">
              <w:rPr>
                <w:rFonts w:cs="Tahoma"/>
                <w:bCs/>
                <w:szCs w:val="20"/>
                <w:lang w:eastAsia="en-US"/>
              </w:rPr>
              <w:t xml:space="preserve">obody was hurt </w:t>
            </w:r>
            <w:proofErr w:type="gramStart"/>
            <w:r w:rsidR="00DF5F52">
              <w:rPr>
                <w:rFonts w:cs="Tahoma"/>
                <w:bCs/>
                <w:szCs w:val="20"/>
                <w:lang w:eastAsia="en-US"/>
              </w:rPr>
              <w:t>as a result of</w:t>
            </w:r>
            <w:proofErr w:type="gramEnd"/>
            <w:r w:rsidR="00DF5F52">
              <w:rPr>
                <w:rFonts w:cs="Tahoma"/>
                <w:bCs/>
                <w:szCs w:val="20"/>
                <w:lang w:eastAsia="en-US"/>
              </w:rPr>
              <w:t xml:space="preserve"> the incident.</w:t>
            </w:r>
          </w:p>
        </w:tc>
      </w:tr>
    </w:tbl>
    <w:p w14:paraId="1531F7B5" w14:textId="77777777" w:rsidR="004458BA" w:rsidRPr="00561548" w:rsidRDefault="004458BA" w:rsidP="001F4D97">
      <w:pPr>
        <w:rPr>
          <w:rStyle w:val="SubtleReference"/>
          <w:smallCaps w:val="0"/>
          <w:color w:val="auto"/>
        </w:rPr>
      </w:pPr>
    </w:p>
    <w:sectPr w:rsidR="004458BA" w:rsidRPr="00561548" w:rsidSect="002A25B3">
      <w:headerReference w:type="default" r:id="rId12"/>
      <w:footerReference w:type="default" r:id="rId13"/>
      <w:headerReference w:type="first" r:id="rId14"/>
      <w:footerReference w:type="first" r:id="rId15"/>
      <w:pgSz w:w="11900" w:h="16840"/>
      <w:pgMar w:top="2268" w:right="3232" w:bottom="2552"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270F" w14:textId="77777777" w:rsidR="00DE3D89" w:rsidRDefault="00DE3D89" w:rsidP="00297315">
      <w:r>
        <w:separator/>
      </w:r>
    </w:p>
  </w:endnote>
  <w:endnote w:type="continuationSeparator" w:id="0">
    <w:p w14:paraId="4AB6D47B" w14:textId="77777777" w:rsidR="00DE3D89" w:rsidRDefault="00DE3D89" w:rsidP="0029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5E0" w14:textId="032042B7" w:rsidR="00366250" w:rsidRPr="006A26C3" w:rsidRDefault="00D701A7" w:rsidP="00366250">
    <w:pPr>
      <w:pStyle w:val="Footer"/>
      <w:ind w:right="-2559"/>
      <w:jc w:val="right"/>
      <w:rPr>
        <w:rFonts w:cs="Arial"/>
        <w:sz w:val="16"/>
        <w:szCs w:val="16"/>
      </w:rPr>
    </w:pPr>
    <w:r>
      <w:rPr>
        <w:rFonts w:cs="Arial"/>
        <w:color w:val="00598E" w:themeColor="text2"/>
        <w:sz w:val="16"/>
        <w:szCs w:val="16"/>
      </w:rPr>
      <w:t>Meeting Minutes</w:t>
    </w:r>
    <w:r w:rsidR="00493087" w:rsidRPr="005D5FC0">
      <w:rPr>
        <w:rFonts w:cs="Arial"/>
        <w:color w:val="00598E" w:themeColor="text2"/>
        <w:sz w:val="16"/>
        <w:szCs w:val="16"/>
      </w:rPr>
      <w:t xml:space="preserve"> </w:t>
    </w:r>
    <w:r w:rsidR="00493087" w:rsidRPr="005D5FC0">
      <w:rPr>
        <w:rFonts w:cs="Arial"/>
        <w:color w:val="FF7232" w:themeColor="accent3"/>
        <w:sz w:val="16"/>
        <w:szCs w:val="16"/>
      </w:rPr>
      <w:t>│</w:t>
    </w:r>
    <w:r w:rsidR="00366250" w:rsidRPr="005D5FC0">
      <w:rPr>
        <w:rFonts w:cs="Arial"/>
        <w:color w:val="00598E" w:themeColor="text2"/>
        <w:sz w:val="16"/>
        <w:szCs w:val="16"/>
      </w:rPr>
      <w:t xml:space="preserve"> </w:t>
    </w:r>
    <w:r w:rsidR="00BE465E" w:rsidRPr="00BE465E">
      <w:rPr>
        <w:rFonts w:cs="Arial"/>
        <w:color w:val="00598E" w:themeColor="text2"/>
        <w:sz w:val="16"/>
        <w:szCs w:val="16"/>
      </w:rPr>
      <w:fldChar w:fldCharType="begin"/>
    </w:r>
    <w:r w:rsidR="00BE465E" w:rsidRPr="00BE465E">
      <w:rPr>
        <w:rFonts w:cs="Arial"/>
        <w:color w:val="00598E" w:themeColor="text2"/>
        <w:sz w:val="16"/>
        <w:szCs w:val="16"/>
      </w:rPr>
      <w:instrText xml:space="preserve"> PAGE   \* MERGEFORMAT </w:instrText>
    </w:r>
    <w:r w:rsidR="00BE465E" w:rsidRPr="00BE465E">
      <w:rPr>
        <w:rFonts w:cs="Arial"/>
        <w:color w:val="00598E" w:themeColor="text2"/>
        <w:sz w:val="16"/>
        <w:szCs w:val="16"/>
      </w:rPr>
      <w:fldChar w:fldCharType="separate"/>
    </w:r>
    <w:r w:rsidR="00BE465E" w:rsidRPr="00BE465E">
      <w:rPr>
        <w:rFonts w:cs="Arial"/>
        <w:noProof/>
        <w:color w:val="00598E" w:themeColor="text2"/>
        <w:sz w:val="16"/>
        <w:szCs w:val="16"/>
      </w:rPr>
      <w:t>1</w:t>
    </w:r>
    <w:r w:rsidR="00BE465E" w:rsidRPr="00BE465E">
      <w:rPr>
        <w:rFonts w:cs="Arial"/>
        <w:noProof/>
        <w:color w:val="00598E" w:themeColor="text2"/>
        <w:sz w:val="16"/>
        <w:szCs w:val="16"/>
      </w:rPr>
      <w:fldChar w:fldCharType="end"/>
    </w:r>
    <w:r w:rsidR="00366250" w:rsidRPr="006A26C3">
      <w:rPr>
        <w:rFonts w:cs="Arial"/>
        <w:noProof/>
        <w:sz w:val="16"/>
        <w:szCs w:val="16"/>
      </w:rPr>
      <w:drawing>
        <wp:anchor distT="0" distB="0" distL="114300" distR="114300" simplePos="0" relativeHeight="251667456" behindDoc="1" locked="0" layoutInCell="1" allowOverlap="1" wp14:anchorId="6620DF63" wp14:editId="1626D37A">
          <wp:simplePos x="0" y="0"/>
          <wp:positionH relativeFrom="page">
            <wp:align>left</wp:align>
          </wp:positionH>
          <wp:positionV relativeFrom="page">
            <wp:align>bottom</wp:align>
          </wp:positionV>
          <wp:extent cx="7560000" cy="1446040"/>
          <wp:effectExtent l="0" t="0" r="3175" b="190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8322" w14:textId="035EFBE7" w:rsidR="00F47EC4" w:rsidRDefault="00F47EC4">
    <w:pPr>
      <w:pStyle w:val="Footer"/>
    </w:pPr>
    <w:r>
      <w:rPr>
        <w:noProof/>
      </w:rPr>
      <w:drawing>
        <wp:anchor distT="0" distB="0" distL="114300" distR="114300" simplePos="0" relativeHeight="251673600" behindDoc="1" locked="0" layoutInCell="1" allowOverlap="1" wp14:anchorId="6DF271B5" wp14:editId="145E75EB">
          <wp:simplePos x="0" y="0"/>
          <wp:positionH relativeFrom="page">
            <wp:posOffset>-6350</wp:posOffset>
          </wp:positionH>
          <wp:positionV relativeFrom="page">
            <wp:posOffset>9258300</wp:posOffset>
          </wp:positionV>
          <wp:extent cx="7560000" cy="1446040"/>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94AC" w14:textId="77777777" w:rsidR="00DE3D89" w:rsidRDefault="00DE3D89" w:rsidP="00297315">
      <w:r>
        <w:separator/>
      </w:r>
    </w:p>
  </w:footnote>
  <w:footnote w:type="continuationSeparator" w:id="0">
    <w:p w14:paraId="73C1A05B" w14:textId="77777777" w:rsidR="00DE3D89" w:rsidRDefault="00DE3D89" w:rsidP="0029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0995" w14:textId="77777777" w:rsidR="00F47EC4" w:rsidRDefault="00F47EC4" w:rsidP="00F47EC4">
    <w:pPr>
      <w:spacing w:before="0" w:after="0"/>
      <w:ind w:hanging="425"/>
      <w:rPr>
        <w:b/>
        <w:bCs/>
        <w:color w:val="00598E" w:themeColor="text2"/>
        <w:sz w:val="16"/>
        <w:szCs w:val="16"/>
      </w:rPr>
    </w:pPr>
  </w:p>
  <w:p w14:paraId="66EEB3A9" w14:textId="77777777" w:rsidR="00F47EC4" w:rsidRDefault="00F47EC4" w:rsidP="00F47EC4">
    <w:pPr>
      <w:spacing w:before="0" w:after="0"/>
      <w:ind w:hanging="425"/>
      <w:rPr>
        <w:b/>
        <w:bCs/>
        <w:color w:val="00598E" w:themeColor="text2"/>
        <w:sz w:val="16"/>
        <w:szCs w:val="16"/>
      </w:rPr>
    </w:pPr>
  </w:p>
  <w:p w14:paraId="3E053302" w14:textId="77777777" w:rsidR="00F47EC4" w:rsidRDefault="00F47EC4" w:rsidP="00F47EC4">
    <w:pPr>
      <w:spacing w:before="0" w:after="0"/>
      <w:ind w:hanging="425"/>
      <w:rPr>
        <w:b/>
        <w:bCs/>
        <w:color w:val="00598E" w:themeColor="text2"/>
        <w:sz w:val="16"/>
        <w:szCs w:val="16"/>
      </w:rPr>
    </w:pPr>
  </w:p>
  <w:p w14:paraId="5FC7B842" w14:textId="77777777" w:rsidR="003C33AF" w:rsidRDefault="003C33AF" w:rsidP="00F47EC4">
    <w:pPr>
      <w:spacing w:before="0" w:after="0"/>
      <w:ind w:hanging="425"/>
      <w:rPr>
        <w:b/>
        <w:bCs/>
        <w:color w:val="00598E" w:themeColor="text2"/>
        <w:sz w:val="16"/>
        <w:szCs w:val="16"/>
      </w:rPr>
    </w:pPr>
  </w:p>
  <w:p w14:paraId="43960BD6" w14:textId="77777777" w:rsidR="002856F9" w:rsidRPr="005D5FC0" w:rsidRDefault="00D63A7A" w:rsidP="002856F9">
    <w:pPr>
      <w:pStyle w:val="HeaderText"/>
    </w:pPr>
    <w:r>
      <w:fldChar w:fldCharType="begin"/>
    </w:r>
    <w:r>
      <w:instrText xml:space="preserve"> REF TitleOfCommittee  \* MERGEFORMAT </w:instrText>
    </w:r>
    <w:r>
      <w:fldChar w:fldCharType="separate"/>
    </w:r>
    <w:r w:rsidR="002856F9">
      <w:t>Entry Customer Forum</w:t>
    </w:r>
  </w:p>
  <w:p w14:paraId="6815C982" w14:textId="5108A266" w:rsidR="00F47EC4" w:rsidRPr="00F47EC4" w:rsidRDefault="00D63A7A" w:rsidP="00D63A7A">
    <w:pPr>
      <w:pStyle w:val="HeaderText"/>
      <w:rPr>
        <w:color w:val="00598E" w:themeColor="text2"/>
      </w:rPr>
    </w:pPr>
    <w:r>
      <w:fldChar w:fldCharType="end"/>
    </w:r>
    <w:r w:rsidR="00F47EC4">
      <w:t>Meeting Minutes</w:t>
    </w:r>
  </w:p>
  <w:p w14:paraId="6AFC794A" w14:textId="77777777" w:rsidR="002856F9" w:rsidRDefault="00A47862" w:rsidP="002856F9">
    <w:pPr>
      <w:pStyle w:val="HeaderText"/>
    </w:pPr>
    <w:r>
      <w:fldChar w:fldCharType="begin"/>
    </w:r>
    <w:r>
      <w:rPr>
        <w:color w:val="00598E" w:themeColor="text2"/>
      </w:rPr>
      <w:instrText xml:space="preserve"> REF DateTime \h </w:instrText>
    </w:r>
    <w:r>
      <w:instrText xml:space="preserve"> \* MERGEFORMAT </w:instrText>
    </w:r>
    <w:r>
      <w:fldChar w:fldCharType="separate"/>
    </w:r>
    <w:r w:rsidR="002856F9" w:rsidRPr="002856F9">
      <w:t>Tuesday 25 July 2023</w:t>
    </w:r>
    <w:r w:rsidR="002856F9">
      <w:t xml:space="preserve"> </w:t>
    </w:r>
    <w:r w:rsidR="002856F9" w:rsidRPr="003C060A">
      <w:t>at 1</w:t>
    </w:r>
    <w:r w:rsidR="002856F9">
      <w:t>2</w:t>
    </w:r>
    <w:r w:rsidR="002856F9" w:rsidRPr="003C060A">
      <w:t>.</w:t>
    </w:r>
    <w:r w:rsidR="002856F9">
      <w:t>3</w:t>
    </w:r>
    <w:r w:rsidR="002856F9" w:rsidRPr="003C060A">
      <w:t>0</w:t>
    </w:r>
    <w:r w:rsidR="002856F9">
      <w:t>PM</w:t>
    </w:r>
    <w:r w:rsidR="002856F9" w:rsidRPr="003C060A">
      <w:t xml:space="preserve"> – </w:t>
    </w:r>
    <w:r w:rsidR="002856F9">
      <w:t>2</w:t>
    </w:r>
    <w:r w:rsidR="002856F9" w:rsidRPr="003C060A">
      <w:t>.</w:t>
    </w:r>
    <w:r w:rsidR="002856F9">
      <w:t>0</w:t>
    </w:r>
    <w:r w:rsidR="002856F9" w:rsidRPr="003C060A">
      <w:t>0</w:t>
    </w:r>
    <w:r w:rsidR="002856F9">
      <w:t>PM</w:t>
    </w:r>
  </w:p>
  <w:p w14:paraId="109653B7" w14:textId="6EF1070E" w:rsidR="00F47EC4" w:rsidRPr="00F47EC4" w:rsidRDefault="00A47862" w:rsidP="00F47EC4">
    <w:pPr>
      <w:spacing w:before="0" w:after="0"/>
      <w:ind w:hanging="425"/>
      <w:rPr>
        <w:color w:val="00598E" w:themeColor="text2"/>
        <w:sz w:val="16"/>
        <w:szCs w:val="16"/>
      </w:rPr>
    </w:pPr>
    <w:r>
      <w:rPr>
        <w:color w:val="4378A8" w:themeColor="accent2"/>
        <w:sz w:val="16"/>
        <w:szCs w:val="16"/>
      </w:rPr>
      <w:fldChar w:fldCharType="end"/>
    </w:r>
    <w:r w:rsidR="00F47EC4">
      <w:rPr>
        <w:noProof/>
      </w:rPr>
      <w:drawing>
        <wp:anchor distT="0" distB="0" distL="114300" distR="114300" simplePos="0" relativeHeight="251671552" behindDoc="1" locked="0" layoutInCell="1" allowOverlap="1" wp14:anchorId="6722640E" wp14:editId="2BDB4865">
          <wp:simplePos x="0" y="0"/>
          <wp:positionH relativeFrom="page">
            <wp:posOffset>6350</wp:posOffset>
          </wp:positionH>
          <wp:positionV relativeFrom="page">
            <wp:posOffset>0</wp:posOffset>
          </wp:positionV>
          <wp:extent cx="7560000" cy="1447200"/>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D4DF" w14:textId="779BD8DD" w:rsidR="00F47EC4" w:rsidRDefault="00F47EC4">
    <w:pPr>
      <w:pStyle w:val="Header"/>
    </w:pPr>
    <w:r>
      <w:rPr>
        <w:noProof/>
      </w:rPr>
      <w:drawing>
        <wp:anchor distT="0" distB="0" distL="114300" distR="114300" simplePos="0" relativeHeight="251669504" behindDoc="1" locked="0" layoutInCell="1" allowOverlap="1" wp14:anchorId="1ABB2A1C" wp14:editId="0383F006">
          <wp:simplePos x="0" y="0"/>
          <wp:positionH relativeFrom="page">
            <wp:align>right</wp:align>
          </wp:positionH>
          <wp:positionV relativeFrom="page">
            <wp:align>top</wp:align>
          </wp:positionV>
          <wp:extent cx="7560000" cy="1447200"/>
          <wp:effectExtent l="0" t="0" r="317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E33D4"/>
    <w:multiLevelType w:val="hybridMultilevel"/>
    <w:tmpl w:val="25CC6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01530A"/>
    <w:multiLevelType w:val="hybridMultilevel"/>
    <w:tmpl w:val="5B4A8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86645">
    <w:abstractNumId w:val="1"/>
  </w:num>
  <w:num w:numId="2" w16cid:durableId="1532064945">
    <w:abstractNumId w:val="9"/>
  </w:num>
  <w:num w:numId="3" w16cid:durableId="907573219">
    <w:abstractNumId w:val="0"/>
  </w:num>
  <w:num w:numId="4" w16cid:durableId="1862237711">
    <w:abstractNumId w:val="10"/>
  </w:num>
  <w:num w:numId="5" w16cid:durableId="433015849">
    <w:abstractNumId w:val="2"/>
  </w:num>
  <w:num w:numId="6" w16cid:durableId="1658802470">
    <w:abstractNumId w:val="6"/>
  </w:num>
  <w:num w:numId="7" w16cid:durableId="472604258">
    <w:abstractNumId w:val="3"/>
  </w:num>
  <w:num w:numId="8" w16cid:durableId="83235429">
    <w:abstractNumId w:val="4"/>
  </w:num>
  <w:num w:numId="9" w16cid:durableId="1831600868">
    <w:abstractNumId w:val="8"/>
  </w:num>
  <w:num w:numId="10" w16cid:durableId="1066799595">
    <w:abstractNumId w:val="5"/>
  </w:num>
  <w:num w:numId="11" w16cid:durableId="567493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50"/>
    <w:rsid w:val="00000BA9"/>
    <w:rsid w:val="000022F1"/>
    <w:rsid w:val="0000527F"/>
    <w:rsid w:val="00024B88"/>
    <w:rsid w:val="00025DE0"/>
    <w:rsid w:val="00026F8D"/>
    <w:rsid w:val="00037DF9"/>
    <w:rsid w:val="00044AED"/>
    <w:rsid w:val="00047DB0"/>
    <w:rsid w:val="00053EA0"/>
    <w:rsid w:val="00054B2F"/>
    <w:rsid w:val="000838D7"/>
    <w:rsid w:val="000845FD"/>
    <w:rsid w:val="00091C6B"/>
    <w:rsid w:val="00092BBD"/>
    <w:rsid w:val="00092C77"/>
    <w:rsid w:val="00095F47"/>
    <w:rsid w:val="000970C9"/>
    <w:rsid w:val="000A0F2F"/>
    <w:rsid w:val="000B33ED"/>
    <w:rsid w:val="000B4750"/>
    <w:rsid w:val="000B573F"/>
    <w:rsid w:val="000B5D1A"/>
    <w:rsid w:val="000B7ECA"/>
    <w:rsid w:val="000C297B"/>
    <w:rsid w:val="000C648F"/>
    <w:rsid w:val="000C66B8"/>
    <w:rsid w:val="000E4C6E"/>
    <w:rsid w:val="000F19A3"/>
    <w:rsid w:val="000F490E"/>
    <w:rsid w:val="00100DAA"/>
    <w:rsid w:val="00106604"/>
    <w:rsid w:val="001160BD"/>
    <w:rsid w:val="0013387F"/>
    <w:rsid w:val="001356D8"/>
    <w:rsid w:val="00136E92"/>
    <w:rsid w:val="001509BC"/>
    <w:rsid w:val="0015192A"/>
    <w:rsid w:val="001519C4"/>
    <w:rsid w:val="00153277"/>
    <w:rsid w:val="00154A61"/>
    <w:rsid w:val="0016040B"/>
    <w:rsid w:val="00163218"/>
    <w:rsid w:val="00187D4E"/>
    <w:rsid w:val="00191C5C"/>
    <w:rsid w:val="001A17B3"/>
    <w:rsid w:val="001A48FB"/>
    <w:rsid w:val="001B0693"/>
    <w:rsid w:val="001B0C69"/>
    <w:rsid w:val="001B211E"/>
    <w:rsid w:val="001B2690"/>
    <w:rsid w:val="001B2E39"/>
    <w:rsid w:val="001C1F03"/>
    <w:rsid w:val="001D10EE"/>
    <w:rsid w:val="001E1D16"/>
    <w:rsid w:val="001F09C3"/>
    <w:rsid w:val="001F2D28"/>
    <w:rsid w:val="001F3A2A"/>
    <w:rsid w:val="001F4D97"/>
    <w:rsid w:val="002034B7"/>
    <w:rsid w:val="0020463B"/>
    <w:rsid w:val="0020739E"/>
    <w:rsid w:val="0021679D"/>
    <w:rsid w:val="002432B9"/>
    <w:rsid w:val="00255322"/>
    <w:rsid w:val="002666DA"/>
    <w:rsid w:val="0027620B"/>
    <w:rsid w:val="00284216"/>
    <w:rsid w:val="002856F9"/>
    <w:rsid w:val="002876B0"/>
    <w:rsid w:val="00295AB6"/>
    <w:rsid w:val="00297315"/>
    <w:rsid w:val="00297C05"/>
    <w:rsid w:val="00297CA5"/>
    <w:rsid w:val="002A25B3"/>
    <w:rsid w:val="002A6340"/>
    <w:rsid w:val="002A6F1D"/>
    <w:rsid w:val="002B1424"/>
    <w:rsid w:val="002D0195"/>
    <w:rsid w:val="002D4F23"/>
    <w:rsid w:val="002E342C"/>
    <w:rsid w:val="002E3C51"/>
    <w:rsid w:val="002F5E78"/>
    <w:rsid w:val="002F7AE8"/>
    <w:rsid w:val="00300809"/>
    <w:rsid w:val="00306655"/>
    <w:rsid w:val="00312376"/>
    <w:rsid w:val="003157C0"/>
    <w:rsid w:val="0036321F"/>
    <w:rsid w:val="00366250"/>
    <w:rsid w:val="00371B47"/>
    <w:rsid w:val="003806A3"/>
    <w:rsid w:val="00391D79"/>
    <w:rsid w:val="003A0392"/>
    <w:rsid w:val="003A5D0D"/>
    <w:rsid w:val="003B0CC7"/>
    <w:rsid w:val="003B0E09"/>
    <w:rsid w:val="003B6FD6"/>
    <w:rsid w:val="003C060A"/>
    <w:rsid w:val="003C33AF"/>
    <w:rsid w:val="003C6C8C"/>
    <w:rsid w:val="003C752B"/>
    <w:rsid w:val="003D171C"/>
    <w:rsid w:val="003D2F9C"/>
    <w:rsid w:val="003D34B6"/>
    <w:rsid w:val="003D4E09"/>
    <w:rsid w:val="003E0404"/>
    <w:rsid w:val="003E366D"/>
    <w:rsid w:val="003E4E57"/>
    <w:rsid w:val="003F031E"/>
    <w:rsid w:val="003F254A"/>
    <w:rsid w:val="003F7A23"/>
    <w:rsid w:val="00400A9D"/>
    <w:rsid w:val="00400C41"/>
    <w:rsid w:val="00407B31"/>
    <w:rsid w:val="004115B8"/>
    <w:rsid w:val="004118ED"/>
    <w:rsid w:val="004119F6"/>
    <w:rsid w:val="00422205"/>
    <w:rsid w:val="004237A6"/>
    <w:rsid w:val="00427265"/>
    <w:rsid w:val="00433210"/>
    <w:rsid w:val="00435CB0"/>
    <w:rsid w:val="0044276F"/>
    <w:rsid w:val="004458BA"/>
    <w:rsid w:val="00447A4C"/>
    <w:rsid w:val="00456F25"/>
    <w:rsid w:val="0047122E"/>
    <w:rsid w:val="00493087"/>
    <w:rsid w:val="00496046"/>
    <w:rsid w:val="004B579B"/>
    <w:rsid w:val="004D36FC"/>
    <w:rsid w:val="004D585B"/>
    <w:rsid w:val="004E06BB"/>
    <w:rsid w:val="004E6C83"/>
    <w:rsid w:val="004E7B9A"/>
    <w:rsid w:val="004F3A96"/>
    <w:rsid w:val="0050338D"/>
    <w:rsid w:val="005034C3"/>
    <w:rsid w:val="005037BC"/>
    <w:rsid w:val="0050421B"/>
    <w:rsid w:val="00520DA6"/>
    <w:rsid w:val="00522494"/>
    <w:rsid w:val="005251F8"/>
    <w:rsid w:val="00530ADE"/>
    <w:rsid w:val="00543E83"/>
    <w:rsid w:val="00544C40"/>
    <w:rsid w:val="00547294"/>
    <w:rsid w:val="0055569B"/>
    <w:rsid w:val="005564FF"/>
    <w:rsid w:val="0055740C"/>
    <w:rsid w:val="00561548"/>
    <w:rsid w:val="00564DCA"/>
    <w:rsid w:val="00567AC4"/>
    <w:rsid w:val="00571A17"/>
    <w:rsid w:val="00577F55"/>
    <w:rsid w:val="00582C99"/>
    <w:rsid w:val="00586AA4"/>
    <w:rsid w:val="00593FA1"/>
    <w:rsid w:val="00597BD3"/>
    <w:rsid w:val="005A2B42"/>
    <w:rsid w:val="005A73B4"/>
    <w:rsid w:val="005A7FFC"/>
    <w:rsid w:val="005B1A13"/>
    <w:rsid w:val="005B2A9E"/>
    <w:rsid w:val="005D5FC0"/>
    <w:rsid w:val="005E09ED"/>
    <w:rsid w:val="005E1D6A"/>
    <w:rsid w:val="005E2DDC"/>
    <w:rsid w:val="005E4356"/>
    <w:rsid w:val="005F0C8B"/>
    <w:rsid w:val="005F1270"/>
    <w:rsid w:val="005F6DFB"/>
    <w:rsid w:val="00601E80"/>
    <w:rsid w:val="00606D36"/>
    <w:rsid w:val="00612F81"/>
    <w:rsid w:val="00617F0E"/>
    <w:rsid w:val="00622480"/>
    <w:rsid w:val="00631EC9"/>
    <w:rsid w:val="00632AF2"/>
    <w:rsid w:val="00632BB7"/>
    <w:rsid w:val="00635D4E"/>
    <w:rsid w:val="0066774C"/>
    <w:rsid w:val="00682B13"/>
    <w:rsid w:val="0068446D"/>
    <w:rsid w:val="006868D1"/>
    <w:rsid w:val="0069355A"/>
    <w:rsid w:val="00696462"/>
    <w:rsid w:val="006A0B07"/>
    <w:rsid w:val="006A26C3"/>
    <w:rsid w:val="006A4113"/>
    <w:rsid w:val="006A6AFA"/>
    <w:rsid w:val="006B70AC"/>
    <w:rsid w:val="006C5664"/>
    <w:rsid w:val="006C5ADA"/>
    <w:rsid w:val="006C62AC"/>
    <w:rsid w:val="006C65A0"/>
    <w:rsid w:val="006D50AF"/>
    <w:rsid w:val="006E4D7A"/>
    <w:rsid w:val="006F42CC"/>
    <w:rsid w:val="006F4D0D"/>
    <w:rsid w:val="006F5DC8"/>
    <w:rsid w:val="006F607C"/>
    <w:rsid w:val="0070043E"/>
    <w:rsid w:val="00706389"/>
    <w:rsid w:val="0073092D"/>
    <w:rsid w:val="007361A7"/>
    <w:rsid w:val="00740F1B"/>
    <w:rsid w:val="007729CD"/>
    <w:rsid w:val="007733F3"/>
    <w:rsid w:val="00773836"/>
    <w:rsid w:val="00780522"/>
    <w:rsid w:val="0079792F"/>
    <w:rsid w:val="007A787F"/>
    <w:rsid w:val="007B0ABA"/>
    <w:rsid w:val="007B6022"/>
    <w:rsid w:val="007D4771"/>
    <w:rsid w:val="007D7446"/>
    <w:rsid w:val="007E4492"/>
    <w:rsid w:val="007F379A"/>
    <w:rsid w:val="00810016"/>
    <w:rsid w:val="00822FDE"/>
    <w:rsid w:val="00831FEC"/>
    <w:rsid w:val="00833F74"/>
    <w:rsid w:val="0085604F"/>
    <w:rsid w:val="00860BD9"/>
    <w:rsid w:val="00862B1F"/>
    <w:rsid w:val="00863D71"/>
    <w:rsid w:val="00871307"/>
    <w:rsid w:val="008724E4"/>
    <w:rsid w:val="0087499A"/>
    <w:rsid w:val="0087564B"/>
    <w:rsid w:val="008838E8"/>
    <w:rsid w:val="00886DCD"/>
    <w:rsid w:val="00890A23"/>
    <w:rsid w:val="008913CE"/>
    <w:rsid w:val="008918FE"/>
    <w:rsid w:val="008939FA"/>
    <w:rsid w:val="008956D0"/>
    <w:rsid w:val="008A0F4C"/>
    <w:rsid w:val="008A236F"/>
    <w:rsid w:val="008A241A"/>
    <w:rsid w:val="008A4199"/>
    <w:rsid w:val="008B4E8D"/>
    <w:rsid w:val="008B69B8"/>
    <w:rsid w:val="008C1226"/>
    <w:rsid w:val="008C7FF7"/>
    <w:rsid w:val="008D3B46"/>
    <w:rsid w:val="008E6D26"/>
    <w:rsid w:val="008E7BAD"/>
    <w:rsid w:val="008F2077"/>
    <w:rsid w:val="008F2253"/>
    <w:rsid w:val="008F7F7E"/>
    <w:rsid w:val="0090086C"/>
    <w:rsid w:val="00902530"/>
    <w:rsid w:val="009062ED"/>
    <w:rsid w:val="009078D7"/>
    <w:rsid w:val="009120F1"/>
    <w:rsid w:val="009210AA"/>
    <w:rsid w:val="00923BD7"/>
    <w:rsid w:val="00925505"/>
    <w:rsid w:val="009312A0"/>
    <w:rsid w:val="00933FF2"/>
    <w:rsid w:val="00946676"/>
    <w:rsid w:val="0095536B"/>
    <w:rsid w:val="009561ED"/>
    <w:rsid w:val="00961849"/>
    <w:rsid w:val="009655E8"/>
    <w:rsid w:val="00965956"/>
    <w:rsid w:val="00966E9E"/>
    <w:rsid w:val="009771FF"/>
    <w:rsid w:val="009845FE"/>
    <w:rsid w:val="00985112"/>
    <w:rsid w:val="00987675"/>
    <w:rsid w:val="009929AF"/>
    <w:rsid w:val="009943DC"/>
    <w:rsid w:val="009B1824"/>
    <w:rsid w:val="009B4221"/>
    <w:rsid w:val="009B7655"/>
    <w:rsid w:val="009D1C34"/>
    <w:rsid w:val="009D55E9"/>
    <w:rsid w:val="009E3550"/>
    <w:rsid w:val="009E41EB"/>
    <w:rsid w:val="009F1617"/>
    <w:rsid w:val="009F4EB9"/>
    <w:rsid w:val="00A0008B"/>
    <w:rsid w:val="00A10428"/>
    <w:rsid w:val="00A14DA5"/>
    <w:rsid w:val="00A215EF"/>
    <w:rsid w:val="00A21E67"/>
    <w:rsid w:val="00A2757B"/>
    <w:rsid w:val="00A310F6"/>
    <w:rsid w:val="00A352E0"/>
    <w:rsid w:val="00A42771"/>
    <w:rsid w:val="00A45FDA"/>
    <w:rsid w:val="00A47862"/>
    <w:rsid w:val="00A609B7"/>
    <w:rsid w:val="00A7104F"/>
    <w:rsid w:val="00A75E5B"/>
    <w:rsid w:val="00A812B5"/>
    <w:rsid w:val="00A81C25"/>
    <w:rsid w:val="00A83DA4"/>
    <w:rsid w:val="00A85E99"/>
    <w:rsid w:val="00A8784B"/>
    <w:rsid w:val="00A879BA"/>
    <w:rsid w:val="00AA0CE1"/>
    <w:rsid w:val="00AA214B"/>
    <w:rsid w:val="00AA2B52"/>
    <w:rsid w:val="00AB112C"/>
    <w:rsid w:val="00AB4AB5"/>
    <w:rsid w:val="00AB5A8B"/>
    <w:rsid w:val="00AC4922"/>
    <w:rsid w:val="00AD0485"/>
    <w:rsid w:val="00AD3E3E"/>
    <w:rsid w:val="00AD471E"/>
    <w:rsid w:val="00AD551E"/>
    <w:rsid w:val="00AE49ED"/>
    <w:rsid w:val="00B02401"/>
    <w:rsid w:val="00B02904"/>
    <w:rsid w:val="00B1771A"/>
    <w:rsid w:val="00B27A35"/>
    <w:rsid w:val="00B31BDD"/>
    <w:rsid w:val="00B403AA"/>
    <w:rsid w:val="00B56804"/>
    <w:rsid w:val="00B60591"/>
    <w:rsid w:val="00B67BAA"/>
    <w:rsid w:val="00BA000A"/>
    <w:rsid w:val="00BA3FFF"/>
    <w:rsid w:val="00BA4380"/>
    <w:rsid w:val="00BB0F3A"/>
    <w:rsid w:val="00BB329B"/>
    <w:rsid w:val="00BC10B5"/>
    <w:rsid w:val="00BC1413"/>
    <w:rsid w:val="00BD1628"/>
    <w:rsid w:val="00BD330B"/>
    <w:rsid w:val="00BD3AA9"/>
    <w:rsid w:val="00BD595E"/>
    <w:rsid w:val="00BE465E"/>
    <w:rsid w:val="00BE4740"/>
    <w:rsid w:val="00BE47A8"/>
    <w:rsid w:val="00BE4AF3"/>
    <w:rsid w:val="00BE4BFE"/>
    <w:rsid w:val="00BE5562"/>
    <w:rsid w:val="00BF580F"/>
    <w:rsid w:val="00BF7521"/>
    <w:rsid w:val="00C00A70"/>
    <w:rsid w:val="00C050A6"/>
    <w:rsid w:val="00C06FCE"/>
    <w:rsid w:val="00C146F4"/>
    <w:rsid w:val="00C166CA"/>
    <w:rsid w:val="00C21F90"/>
    <w:rsid w:val="00C26B3F"/>
    <w:rsid w:val="00C32719"/>
    <w:rsid w:val="00C4127E"/>
    <w:rsid w:val="00C56B52"/>
    <w:rsid w:val="00C652C5"/>
    <w:rsid w:val="00C800F8"/>
    <w:rsid w:val="00C825D3"/>
    <w:rsid w:val="00C83547"/>
    <w:rsid w:val="00C919D3"/>
    <w:rsid w:val="00CA0B5D"/>
    <w:rsid w:val="00CA730F"/>
    <w:rsid w:val="00CB4114"/>
    <w:rsid w:val="00CC2FE9"/>
    <w:rsid w:val="00CD3D2C"/>
    <w:rsid w:val="00CF1033"/>
    <w:rsid w:val="00CF7972"/>
    <w:rsid w:val="00D1418C"/>
    <w:rsid w:val="00D14694"/>
    <w:rsid w:val="00D1592C"/>
    <w:rsid w:val="00D25CA9"/>
    <w:rsid w:val="00D34903"/>
    <w:rsid w:val="00D36F55"/>
    <w:rsid w:val="00D372E4"/>
    <w:rsid w:val="00D37838"/>
    <w:rsid w:val="00D4052F"/>
    <w:rsid w:val="00D431EE"/>
    <w:rsid w:val="00D527FC"/>
    <w:rsid w:val="00D54751"/>
    <w:rsid w:val="00D55C96"/>
    <w:rsid w:val="00D5706A"/>
    <w:rsid w:val="00D63A7A"/>
    <w:rsid w:val="00D664A0"/>
    <w:rsid w:val="00D701A7"/>
    <w:rsid w:val="00D7060D"/>
    <w:rsid w:val="00D716D1"/>
    <w:rsid w:val="00D72AD8"/>
    <w:rsid w:val="00D83618"/>
    <w:rsid w:val="00D9005F"/>
    <w:rsid w:val="00D935DB"/>
    <w:rsid w:val="00DA3A6A"/>
    <w:rsid w:val="00DB48E6"/>
    <w:rsid w:val="00DC0F53"/>
    <w:rsid w:val="00DE3D89"/>
    <w:rsid w:val="00DE4227"/>
    <w:rsid w:val="00DE7846"/>
    <w:rsid w:val="00DF5F52"/>
    <w:rsid w:val="00DF78E4"/>
    <w:rsid w:val="00E017EE"/>
    <w:rsid w:val="00E03656"/>
    <w:rsid w:val="00E057C7"/>
    <w:rsid w:val="00E1200A"/>
    <w:rsid w:val="00E225FA"/>
    <w:rsid w:val="00E22A87"/>
    <w:rsid w:val="00E23A8A"/>
    <w:rsid w:val="00E3245F"/>
    <w:rsid w:val="00E32BEC"/>
    <w:rsid w:val="00E33A14"/>
    <w:rsid w:val="00E347F0"/>
    <w:rsid w:val="00E35EA1"/>
    <w:rsid w:val="00E37F04"/>
    <w:rsid w:val="00E4283C"/>
    <w:rsid w:val="00E449CA"/>
    <w:rsid w:val="00E47F60"/>
    <w:rsid w:val="00E60C9F"/>
    <w:rsid w:val="00E61EAA"/>
    <w:rsid w:val="00E63D86"/>
    <w:rsid w:val="00E64478"/>
    <w:rsid w:val="00E64F7C"/>
    <w:rsid w:val="00E650AA"/>
    <w:rsid w:val="00E6768E"/>
    <w:rsid w:val="00E720C9"/>
    <w:rsid w:val="00E75F2A"/>
    <w:rsid w:val="00E83203"/>
    <w:rsid w:val="00E966C4"/>
    <w:rsid w:val="00E966FE"/>
    <w:rsid w:val="00E9707F"/>
    <w:rsid w:val="00EA43A2"/>
    <w:rsid w:val="00EC14F0"/>
    <w:rsid w:val="00EC72A4"/>
    <w:rsid w:val="00EC7971"/>
    <w:rsid w:val="00ED0EE1"/>
    <w:rsid w:val="00ED359D"/>
    <w:rsid w:val="00ED4515"/>
    <w:rsid w:val="00ED4D72"/>
    <w:rsid w:val="00EE02A7"/>
    <w:rsid w:val="00EE46AA"/>
    <w:rsid w:val="00EF44EE"/>
    <w:rsid w:val="00EF776A"/>
    <w:rsid w:val="00F11373"/>
    <w:rsid w:val="00F12EE2"/>
    <w:rsid w:val="00F15853"/>
    <w:rsid w:val="00F17764"/>
    <w:rsid w:val="00F243D9"/>
    <w:rsid w:val="00F24B58"/>
    <w:rsid w:val="00F42E1B"/>
    <w:rsid w:val="00F4406B"/>
    <w:rsid w:val="00F464CC"/>
    <w:rsid w:val="00F47EC4"/>
    <w:rsid w:val="00F52624"/>
    <w:rsid w:val="00F54DAE"/>
    <w:rsid w:val="00F616F1"/>
    <w:rsid w:val="00F63FFB"/>
    <w:rsid w:val="00F674DA"/>
    <w:rsid w:val="00F740C3"/>
    <w:rsid w:val="00F868AA"/>
    <w:rsid w:val="00F91F8B"/>
    <w:rsid w:val="00FA657E"/>
    <w:rsid w:val="00FB765C"/>
    <w:rsid w:val="00FC4D03"/>
    <w:rsid w:val="00FD4655"/>
    <w:rsid w:val="00FD517C"/>
    <w:rsid w:val="00FD758F"/>
    <w:rsid w:val="00FE0A53"/>
    <w:rsid w:val="00FE372B"/>
    <w:rsid w:val="00FE430A"/>
    <w:rsid w:val="00FF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F5626"/>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B7"/>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autoRedefine/>
    <w:qFormat/>
    <w:rsid w:val="00255322"/>
    <w:pPr>
      <w:spacing w:before="100" w:beforeAutospacing="1" w:line="360" w:lineRule="auto"/>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paragraph" w:customStyle="1" w:styleId="HeaderText">
    <w:name w:val="HeaderText"/>
    <w:basedOn w:val="Normal"/>
    <w:link w:val="HeaderTextChar"/>
    <w:qFormat/>
    <w:rsid w:val="00D63A7A"/>
    <w:pPr>
      <w:spacing w:before="0" w:after="0"/>
      <w:ind w:hanging="425"/>
    </w:pPr>
    <w:rPr>
      <w:color w:val="4378A8" w:themeColor="accent2"/>
      <w:sz w:val="16"/>
      <w:szCs w:val="16"/>
    </w:rPr>
  </w:style>
  <w:style w:type="character" w:customStyle="1" w:styleId="HeaderTextChar">
    <w:name w:val="HeaderText Char"/>
    <w:basedOn w:val="DefaultParagraphFont"/>
    <w:link w:val="HeaderText"/>
    <w:rsid w:val="00D63A7A"/>
    <w:rPr>
      <w:rFonts w:ascii="Arial" w:eastAsia="Times New Roman" w:hAnsi="Arial" w:cs="Times New Roman"/>
      <w:color w:val="4378A8" w:themeColor="accent2"/>
      <w:sz w:val="16"/>
      <w:szCs w:val="16"/>
      <w:lang w:eastAsia="en-GB"/>
    </w:rPr>
  </w:style>
  <w:style w:type="character" w:customStyle="1" w:styleId="ui-provider">
    <w:name w:val="ui-provider"/>
    <w:basedOn w:val="DefaultParagraphFont"/>
    <w:rsid w:val="003A0392"/>
  </w:style>
  <w:style w:type="character" w:styleId="Hyperlink">
    <w:name w:val="Hyperlink"/>
    <w:basedOn w:val="DefaultParagraphFont"/>
    <w:uiPriority w:val="99"/>
    <w:unhideWhenUsed/>
    <w:rsid w:val="008F2253"/>
    <w:rPr>
      <w:color w:val="0000FF"/>
      <w:u w:val="single"/>
    </w:rPr>
  </w:style>
  <w:style w:type="character" w:styleId="UnresolvedMention">
    <w:name w:val="Unresolved Mention"/>
    <w:basedOn w:val="DefaultParagraphFont"/>
    <w:uiPriority w:val="99"/>
    <w:semiHidden/>
    <w:unhideWhenUsed/>
    <w:rsid w:val="006C65A0"/>
    <w:rPr>
      <w:color w:val="605E5C"/>
      <w:shd w:val="clear" w:color="auto" w:fill="E1DFDD"/>
    </w:rPr>
  </w:style>
  <w:style w:type="character" w:styleId="FollowedHyperlink">
    <w:name w:val="FollowedHyperlink"/>
    <w:basedOn w:val="DefaultParagraphFont"/>
    <w:uiPriority w:val="99"/>
    <w:semiHidden/>
    <w:unhideWhenUsed/>
    <w:rsid w:val="00871307"/>
    <w:rPr>
      <w:color w:val="4378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4672">
      <w:bodyDiv w:val="1"/>
      <w:marLeft w:val="0"/>
      <w:marRight w:val="0"/>
      <w:marTop w:val="0"/>
      <w:marBottom w:val="0"/>
      <w:divBdr>
        <w:top w:val="none" w:sz="0" w:space="0" w:color="auto"/>
        <w:left w:val="none" w:sz="0" w:space="0" w:color="auto"/>
        <w:bottom w:val="none" w:sz="0" w:space="0" w:color="auto"/>
        <w:right w:val="none" w:sz="0" w:space="0" w:color="auto"/>
      </w:divBdr>
    </w:div>
    <w:div w:id="247350831">
      <w:bodyDiv w:val="1"/>
      <w:marLeft w:val="0"/>
      <w:marRight w:val="0"/>
      <w:marTop w:val="0"/>
      <w:marBottom w:val="0"/>
      <w:divBdr>
        <w:top w:val="none" w:sz="0" w:space="0" w:color="auto"/>
        <w:left w:val="none" w:sz="0" w:space="0" w:color="auto"/>
        <w:bottom w:val="none" w:sz="0" w:space="0" w:color="auto"/>
        <w:right w:val="none" w:sz="0" w:space="0" w:color="auto"/>
      </w:divBdr>
    </w:div>
    <w:div w:id="423889942">
      <w:bodyDiv w:val="1"/>
      <w:marLeft w:val="0"/>
      <w:marRight w:val="0"/>
      <w:marTop w:val="0"/>
      <w:marBottom w:val="0"/>
      <w:divBdr>
        <w:top w:val="none" w:sz="0" w:space="0" w:color="auto"/>
        <w:left w:val="none" w:sz="0" w:space="0" w:color="auto"/>
        <w:bottom w:val="none" w:sz="0" w:space="0" w:color="auto"/>
        <w:right w:val="none" w:sz="0" w:space="0" w:color="auto"/>
      </w:divBdr>
    </w:div>
    <w:div w:id="998077178">
      <w:bodyDiv w:val="1"/>
      <w:marLeft w:val="0"/>
      <w:marRight w:val="0"/>
      <w:marTop w:val="0"/>
      <w:marBottom w:val="0"/>
      <w:divBdr>
        <w:top w:val="none" w:sz="0" w:space="0" w:color="auto"/>
        <w:left w:val="none" w:sz="0" w:space="0" w:color="auto"/>
        <w:bottom w:val="none" w:sz="0" w:space="0" w:color="auto"/>
        <w:right w:val="none" w:sz="0" w:space="0" w:color="auto"/>
      </w:divBdr>
    </w:div>
    <w:div w:id="12925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arter.energynetworks.org/projects/nia_cad006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9CB0D2B30E148A7988E9920D3A83D" ma:contentTypeVersion="2" ma:contentTypeDescription="Create a new document." ma:contentTypeScope="" ma:versionID="90e6ec2cff0b497f79987f237fad2873">
  <xsd:schema xmlns:xsd="http://www.w3.org/2001/XMLSchema" xmlns:xs="http://www.w3.org/2001/XMLSchema" xmlns:p="http://schemas.microsoft.com/office/2006/metadata/properties" xmlns:ns2="102eda4e-14e3-4302-a901-9cd880e34d68" targetNamespace="http://schemas.microsoft.com/office/2006/metadata/properties" ma:root="true" ma:fieldsID="d4a9b7dad84b1121b2b933e80eef4e66" ns2:_="">
    <xsd:import namespace="102eda4e-14e3-4302-a901-9cd880e34d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eda4e-14e3-4302-a901-9cd880e34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DDE08-82CE-427F-855F-C72C22923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eda4e-14e3-4302-a901-9cd880e3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C5D04-1A07-4347-8B6B-35DD604D6469}">
  <ds:schemaRefs>
    <ds:schemaRef ds:uri="http://schemas.openxmlformats.org/officeDocument/2006/bibliography"/>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Sylvester</dc:creator>
  <cp:keywords/>
  <dc:description/>
  <cp:lastModifiedBy>Matt Rosenfeld (he/him)</cp:lastModifiedBy>
  <cp:revision>420</cp:revision>
  <cp:lastPrinted>2020-10-16T10:33:00Z</cp:lastPrinted>
  <dcterms:created xsi:type="dcterms:W3CDTF">2022-11-16T17:12:00Z</dcterms:created>
  <dcterms:modified xsi:type="dcterms:W3CDTF">2023-07-25T15:17:00Z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0x010100C639CB0D2B30E148A7988E9920D3A83D</vt:lpwstr>
  </property>
</Properties>
</file>